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49" w:rsidRPr="009E006B" w:rsidRDefault="003D1F49" w:rsidP="003D1F49">
      <w:pPr>
        <w:spacing w:after="0" w:line="240" w:lineRule="auto"/>
        <w:jc w:val="center"/>
        <w:rPr>
          <w:rFonts w:ascii="Times New Roman CYR" w:hAnsi="Times New Roman CYR" w:cs="Times New Roman"/>
          <w:b/>
          <w:sz w:val="28"/>
          <w:szCs w:val="28"/>
        </w:rPr>
      </w:pPr>
      <w:r w:rsidRPr="009E006B">
        <w:rPr>
          <w:rFonts w:ascii="Times New Roman CYR" w:hAnsi="Times New Roman CYR" w:cs="Times New Roman"/>
          <w:b/>
          <w:sz w:val="28"/>
          <w:szCs w:val="28"/>
        </w:rPr>
        <w:t>Инициативный проект</w:t>
      </w:r>
      <w:r w:rsidR="008C1B7F">
        <w:rPr>
          <w:rFonts w:ascii="Times New Roman CYR" w:hAnsi="Times New Roman CYR" w:cs="Times New Roman"/>
          <w:b/>
          <w:sz w:val="28"/>
          <w:szCs w:val="28"/>
        </w:rPr>
        <w:t xml:space="preserve"> (изменения январь 2025 года)</w:t>
      </w:r>
    </w:p>
    <w:p w:rsidR="003D1F49" w:rsidRPr="009E006B" w:rsidRDefault="003D1F49" w:rsidP="003D1F49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639"/>
        <w:gridCol w:w="4279"/>
      </w:tblGrid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№ п/п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ind w:right="63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  <w:r w:rsidRPr="009E006B">
              <w:rPr>
                <w:rFonts w:ascii="Times New Roman CYR" w:hAnsi="Times New Roman CYR" w:cs="Times New Roman"/>
                <w:b/>
                <w:szCs w:val="24"/>
              </w:rPr>
              <w:t>Сведения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b/>
                <w:szCs w:val="24"/>
              </w:rPr>
            </w:pPr>
          </w:p>
        </w:tc>
      </w:tr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1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Наименование инициативного проекта 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3C20E0" w:rsidRDefault="00645552" w:rsidP="00A94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тротуара 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  <w:r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ул. Комсомольская) с устройством пешеходных переходов и поставкой и установкой знаков и пешеходных ограждений</w:t>
            </w:r>
          </w:p>
        </w:tc>
      </w:tr>
      <w:tr w:rsidR="003D1F49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2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9E006B" w:rsidRDefault="003D1F49" w:rsidP="003A2DA1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</w:t>
            </w:r>
            <w:r w:rsidR="003A2DA1">
              <w:rPr>
                <w:rFonts w:ascii="Times New Roman CYR" w:hAnsi="Times New Roman CYR" w:cs="Times New Roman"/>
                <w:sz w:val="24"/>
                <w:szCs w:val="24"/>
              </w:rPr>
              <w:t>Пикалевского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городского поселения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или его части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1F49" w:rsidRPr="003C20E0" w:rsidRDefault="003C20E0" w:rsidP="0088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0E0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 местного значения 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>до дома № 38 в 6 микрорайоне</w:t>
            </w:r>
            <w:r w:rsidR="008156F6" w:rsidRPr="003C20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15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неудовлетворительном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состоянии.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65B1" w:rsidRPr="003C20E0">
              <w:rPr>
                <w:rFonts w:ascii="Times New Roman" w:hAnsi="Times New Roman" w:cs="Times New Roman"/>
                <w:sz w:val="24"/>
                <w:szCs w:val="24"/>
              </w:rPr>
              <w:t xml:space="preserve">ля создания комфортных и безопасных условий жизни жителей территории, необходим ремонт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данного тротуара</w:t>
            </w:r>
          </w:p>
          <w:p w:rsidR="008865B1" w:rsidRPr="003C20E0" w:rsidRDefault="008865B1" w:rsidP="008865B1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8865B1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3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8865B1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Default="008865B1" w:rsidP="008865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После ремонта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достигнута</w:t>
            </w: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 цель проекта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комплексного обустройства территории Пикалевского городского поселения</w:t>
            </w:r>
          </w:p>
          <w:p w:rsidR="008865B1" w:rsidRPr="008865B1" w:rsidRDefault="008865B1" w:rsidP="008865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4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Повышение доли протяженности</w:t>
            </w:r>
            <w:bookmarkStart w:id="0" w:name="_GoBack"/>
            <w:bookmarkEnd w:id="0"/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соответствующих нормативным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Пикалевско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пребывания на территории </w:t>
            </w:r>
          </w:p>
          <w:p w:rsidR="003A2DA1" w:rsidRPr="003A2DA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Пикалевского городского</w:t>
            </w:r>
          </w:p>
          <w:p w:rsidR="008865B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3A2DA1" w:rsidRPr="008865B1" w:rsidRDefault="003A2DA1" w:rsidP="008C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жителей в реализацию социально-значимых проектов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5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A95CFB" w:rsidP="00A94DB7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2</w:t>
            </w:r>
            <w:r w:rsidR="00A94DB7">
              <w:rPr>
                <w:rFonts w:ascii="Times New Roman CYR" w:hAnsi="Times New Roman CYR" w:cs="Times New Roman"/>
                <w:sz w:val="24"/>
                <w:szCs w:val="24"/>
              </w:rPr>
              <w:t> 395 492,37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6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A95CFB" w:rsidP="008156F6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202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5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 год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7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Сведения о планируемом (возможном) финансовом, имущественном и (или) трудовом участии заинтересованных лиц в реализации </w:t>
            </w:r>
            <w:r>
              <w:rPr>
                <w:rFonts w:ascii="Times New Roman CYR" w:hAnsi="Times New Roman CYR"/>
                <w:sz w:val="24"/>
                <w:szCs w:val="28"/>
              </w:rPr>
              <w:t>инициативного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0942DC" w:rsidP="000942DC">
            <w:pPr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Подтверждено т</w:t>
            </w:r>
            <w:r w:rsidR="008865B1">
              <w:rPr>
                <w:rFonts w:ascii="Times New Roman CYR" w:hAnsi="Times New Roman CYR" w:cs="Times New Roman"/>
                <w:sz w:val="24"/>
                <w:szCs w:val="24"/>
              </w:rPr>
              <w:t xml:space="preserve">рудовое участие 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заинтересованных лиц в реализации </w:t>
            </w:r>
            <w:r>
              <w:rPr>
                <w:rFonts w:ascii="Times New Roman CYR" w:hAnsi="Times New Roman CYR"/>
                <w:sz w:val="24"/>
                <w:szCs w:val="28"/>
              </w:rPr>
              <w:t>инициативного</w:t>
            </w:r>
            <w:r w:rsidRPr="009E006B">
              <w:rPr>
                <w:rFonts w:ascii="Times New Roman CYR" w:hAnsi="Times New Roman CYR"/>
                <w:sz w:val="24"/>
                <w:szCs w:val="28"/>
              </w:rPr>
              <w:t xml:space="preserve"> проекта</w:t>
            </w:r>
          </w:p>
        </w:tc>
      </w:tr>
      <w:tr w:rsidR="008865B1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9E006B" w:rsidRDefault="008865B1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8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65B1" w:rsidRPr="009E006B" w:rsidRDefault="008865B1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местного бюджета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65B1" w:rsidRPr="000942DC" w:rsidRDefault="000942DC" w:rsidP="008156F6">
            <w:pPr>
              <w:spacing w:after="0" w:line="240" w:lineRule="auto"/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Средства местного бюджета,  планируемые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на реализацию инициативного проекта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379 492,37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 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9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Указание на объем средств областного бюджета на реализацию инициативного проекта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0942DC" w:rsidRDefault="000942DC" w:rsidP="008156F6">
            <w:pPr>
              <w:spacing w:after="0" w:line="240" w:lineRule="auto"/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Средства областного бюджета,  планируемые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на реализацию 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lastRenderedPageBreak/>
              <w:t>инициативного проекта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</w:t>
            </w:r>
            <w:r w:rsidR="008156F6">
              <w:rPr>
                <w:rFonts w:ascii="Times New Roman CYR" w:hAnsi="Times New Roman CYR" w:cs="Times New Roman"/>
                <w:sz w:val="24"/>
                <w:szCs w:val="24"/>
              </w:rPr>
              <w:t>2 016 000,00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рублей 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Указание на территорию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Бокситогорского городского поселения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 xml:space="preserve"> или его часть, в границах которой будет реализовываться инициативный проект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0942DC" w:rsidRDefault="000942DC" w:rsidP="00815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156F6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Пикалево</w:t>
            </w:r>
          </w:p>
        </w:tc>
      </w:tr>
      <w:tr w:rsidR="000942DC" w:rsidRPr="009E006B" w:rsidTr="0043368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jc w:val="center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11</w:t>
            </w:r>
          </w:p>
        </w:tc>
        <w:tc>
          <w:tcPr>
            <w:tcW w:w="4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433688">
            <w:pPr>
              <w:spacing w:after="0" w:line="240" w:lineRule="auto"/>
              <w:ind w:right="63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Информация об инициаторе проекта (Ф.И.О.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старосты сельского населенного пункта, председателя совета территориального общественного самоуправления председателя общественного совета части территории Бокситогорского городского поселения</w:t>
            </w:r>
            <w:r w:rsidRPr="009E006B">
              <w:rPr>
                <w:rFonts w:ascii="Times New Roman CYR" w:hAnsi="Times New Roman CYR" w:cs="Times New Roman"/>
                <w:sz w:val="24"/>
                <w:szCs w:val="24"/>
              </w:rPr>
              <w:t>, номер контактного телефона, адрес электронной почты (при наличии)</w:t>
            </w:r>
          </w:p>
        </w:tc>
        <w:tc>
          <w:tcPr>
            <w:tcW w:w="4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942DC" w:rsidRPr="009E006B" w:rsidRDefault="000942DC" w:rsidP="003A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/>
                <w:bCs/>
                <w:sz w:val="24"/>
                <w:szCs w:val="24"/>
              </w:rPr>
              <w:t>территориально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3A2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общественное самоуправление </w:t>
            </w:r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«жилая зона «</w:t>
            </w:r>
            <w:proofErr w:type="spellStart"/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Обрино</w:t>
            </w:r>
            <w:proofErr w:type="spellEnd"/>
            <w:r w:rsidR="003A2DA1" w:rsidRPr="003A2DA1">
              <w:rPr>
                <w:rFonts w:ascii="Times New Roman" w:hAnsi="Times New Roman" w:cs="Times New Roman"/>
                <w:sz w:val="24"/>
                <w:szCs w:val="24"/>
              </w:rPr>
              <w:t>» г. Пикалево»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proofErr w:type="spellStart"/>
            <w:r w:rsidR="003A2DA1">
              <w:rPr>
                <w:rFonts w:ascii="Times New Roman" w:hAnsi="Times New Roman" w:cs="Times New Roman"/>
                <w:sz w:val="24"/>
                <w:szCs w:val="24"/>
              </w:rPr>
              <w:t>Бадуева</w:t>
            </w:r>
            <w:proofErr w:type="spellEnd"/>
            <w:r w:rsidR="003A2DA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  <w:r w:rsidRPr="003A2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2DA1">
              <w:rPr>
                <w:rFonts w:ascii="Times New Roman" w:hAnsi="Times New Roman" w:cs="Times New Roman"/>
                <w:sz w:val="24"/>
                <w:szCs w:val="24"/>
              </w:rPr>
              <w:t>89817276498</w:t>
            </w:r>
          </w:p>
        </w:tc>
      </w:tr>
    </w:tbl>
    <w:p w:rsidR="002C4166" w:rsidRDefault="002C4166"/>
    <w:sectPr w:rsidR="002C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C5"/>
    <w:rsid w:val="000942DC"/>
    <w:rsid w:val="000E7B15"/>
    <w:rsid w:val="00260241"/>
    <w:rsid w:val="002C4166"/>
    <w:rsid w:val="00305F4F"/>
    <w:rsid w:val="003A2DA1"/>
    <w:rsid w:val="003C20E0"/>
    <w:rsid w:val="003D1F49"/>
    <w:rsid w:val="00645552"/>
    <w:rsid w:val="006C0BC5"/>
    <w:rsid w:val="007A175A"/>
    <w:rsid w:val="008156F6"/>
    <w:rsid w:val="008865B1"/>
    <w:rsid w:val="008C1B7F"/>
    <w:rsid w:val="00A7231C"/>
    <w:rsid w:val="00A94DB7"/>
    <w:rsid w:val="00A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428D"/>
  <w15:docId w15:val="{E1AD3FA4-EC34-47BE-8588-ABC3981D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49"/>
    <w:pPr>
      <w:spacing w:after="160" w:line="252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2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КОиПО</dc:creator>
  <cp:keywords/>
  <dc:description/>
  <cp:lastModifiedBy>Соловьева</cp:lastModifiedBy>
  <cp:revision>6</cp:revision>
  <cp:lastPrinted>2025-05-27T06:51:00Z</cp:lastPrinted>
  <dcterms:created xsi:type="dcterms:W3CDTF">2025-10-09T11:26:00Z</dcterms:created>
  <dcterms:modified xsi:type="dcterms:W3CDTF">2025-10-09T12:13:00Z</dcterms:modified>
</cp:coreProperties>
</file>