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81BEE" w14:textId="77777777" w:rsidR="008E1C8D" w:rsidRPr="000E16D2" w:rsidRDefault="008E1C8D" w:rsidP="008E1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E16D2">
        <w:rPr>
          <w:rFonts w:ascii="Times New Roman" w:hAnsi="Times New Roman" w:cs="Times New Roman"/>
          <w:bCs/>
          <w:sz w:val="20"/>
          <w:szCs w:val="20"/>
        </w:rPr>
        <w:t>Отчет</w:t>
      </w:r>
    </w:p>
    <w:p w14:paraId="55C4255E" w14:textId="77777777" w:rsidR="008E1C8D" w:rsidRPr="000E16D2" w:rsidRDefault="008E1C8D" w:rsidP="008E1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E16D2">
        <w:rPr>
          <w:rFonts w:ascii="Times New Roman" w:hAnsi="Times New Roman" w:cs="Times New Roman"/>
          <w:bCs/>
          <w:sz w:val="20"/>
          <w:szCs w:val="20"/>
        </w:rPr>
        <w:t>о реализации муниципальной программы</w:t>
      </w:r>
    </w:p>
    <w:p w14:paraId="60DA71EB" w14:textId="77777777" w:rsidR="008E1C8D" w:rsidRPr="000E16D2" w:rsidRDefault="008E1C8D" w:rsidP="008E1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0E16D2">
        <w:rPr>
          <w:rFonts w:ascii="Times New Roman" w:hAnsi="Times New Roman" w:cs="Times New Roman"/>
          <w:bCs/>
          <w:sz w:val="20"/>
          <w:szCs w:val="20"/>
        </w:rPr>
        <w:t>Пикалев</w:t>
      </w:r>
      <w:r w:rsidR="005852BB">
        <w:rPr>
          <w:rFonts w:ascii="Times New Roman" w:hAnsi="Times New Roman" w:cs="Times New Roman"/>
          <w:bCs/>
          <w:sz w:val="20"/>
          <w:szCs w:val="20"/>
        </w:rPr>
        <w:t>ского</w:t>
      </w:r>
      <w:proofErr w:type="spellEnd"/>
      <w:r w:rsidR="005852BB">
        <w:rPr>
          <w:rFonts w:ascii="Times New Roman" w:hAnsi="Times New Roman" w:cs="Times New Roman"/>
          <w:bCs/>
          <w:sz w:val="20"/>
          <w:szCs w:val="20"/>
        </w:rPr>
        <w:t xml:space="preserve"> городского поселения</w:t>
      </w:r>
      <w:r w:rsidRPr="000E16D2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w:anchor="Par1688" w:history="1">
        <w:r w:rsidRPr="000E16D2">
          <w:rPr>
            <w:rFonts w:ascii="Times New Roman" w:hAnsi="Times New Roman" w:cs="Times New Roman"/>
            <w:bCs/>
            <w:color w:val="0000FF"/>
            <w:sz w:val="20"/>
            <w:szCs w:val="20"/>
          </w:rPr>
          <w:t>&lt;1&gt;</w:t>
        </w:r>
      </w:hyperlink>
    </w:p>
    <w:p w14:paraId="37513E5B" w14:textId="77777777" w:rsidR="008E1C8D" w:rsidRPr="000E16D2" w:rsidRDefault="008E1C8D" w:rsidP="008E1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2D1F7CF" w14:textId="4E97552C" w:rsidR="000975EB" w:rsidRPr="00EB27DB" w:rsidRDefault="008E1C8D" w:rsidP="008E1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7DB">
        <w:rPr>
          <w:rFonts w:ascii="Times New Roman" w:hAnsi="Times New Roman" w:cs="Times New Roman"/>
          <w:bCs/>
          <w:sz w:val="28"/>
          <w:szCs w:val="28"/>
        </w:rPr>
        <w:t xml:space="preserve">Наименование муниципальной программы: </w:t>
      </w:r>
      <w:r w:rsidR="008C0659" w:rsidRPr="00EB27DB">
        <w:rPr>
          <w:rFonts w:ascii="Times New Roman" w:hAnsi="Times New Roman" w:cs="Times New Roman"/>
          <w:sz w:val="28"/>
          <w:szCs w:val="28"/>
        </w:rPr>
        <w:t>«</w:t>
      </w:r>
      <w:r w:rsidR="00EB27DB" w:rsidRPr="00EB27DB">
        <w:rPr>
          <w:rFonts w:ascii="Times New Roman" w:hAnsi="Times New Roman"/>
          <w:sz w:val="28"/>
          <w:szCs w:val="28"/>
        </w:rPr>
        <w:t xml:space="preserve">Управление собственностью, земельными ресурсами и градостроительная деятельность </w:t>
      </w:r>
      <w:proofErr w:type="spellStart"/>
      <w:r w:rsidR="00EB27DB" w:rsidRPr="00EB27DB">
        <w:rPr>
          <w:rFonts w:ascii="Times New Roman" w:hAnsi="Times New Roman"/>
          <w:sz w:val="28"/>
          <w:szCs w:val="28"/>
        </w:rPr>
        <w:t>Пикалев</w:t>
      </w:r>
      <w:r w:rsidR="00644BEE">
        <w:rPr>
          <w:rFonts w:ascii="Times New Roman" w:hAnsi="Times New Roman"/>
          <w:sz w:val="28"/>
          <w:szCs w:val="28"/>
        </w:rPr>
        <w:t>ско</w:t>
      </w:r>
      <w:r w:rsidR="008E182F">
        <w:rPr>
          <w:rFonts w:ascii="Times New Roman" w:hAnsi="Times New Roman"/>
          <w:sz w:val="28"/>
          <w:szCs w:val="28"/>
        </w:rPr>
        <w:t>го</w:t>
      </w:r>
      <w:proofErr w:type="spellEnd"/>
      <w:r w:rsidR="00644BEE">
        <w:rPr>
          <w:rFonts w:ascii="Times New Roman" w:hAnsi="Times New Roman"/>
          <w:sz w:val="28"/>
          <w:szCs w:val="28"/>
        </w:rPr>
        <w:t xml:space="preserve"> городско</w:t>
      </w:r>
      <w:r w:rsidR="008E182F">
        <w:rPr>
          <w:rFonts w:ascii="Times New Roman" w:hAnsi="Times New Roman"/>
          <w:sz w:val="28"/>
          <w:szCs w:val="28"/>
        </w:rPr>
        <w:t>го поселения»</w:t>
      </w:r>
      <w:r w:rsidR="00EB27DB" w:rsidRPr="00EB27DB">
        <w:rPr>
          <w:rFonts w:ascii="Times New Roman" w:hAnsi="Times New Roman"/>
          <w:sz w:val="28"/>
          <w:szCs w:val="28"/>
        </w:rPr>
        <w:t xml:space="preserve"> на 202</w:t>
      </w:r>
      <w:r w:rsidR="00886A86">
        <w:rPr>
          <w:rFonts w:ascii="Times New Roman" w:hAnsi="Times New Roman"/>
          <w:sz w:val="28"/>
          <w:szCs w:val="28"/>
        </w:rPr>
        <w:t>4</w:t>
      </w:r>
      <w:r w:rsidR="00696CAE">
        <w:rPr>
          <w:rFonts w:ascii="Times New Roman" w:hAnsi="Times New Roman"/>
          <w:sz w:val="28"/>
          <w:szCs w:val="28"/>
        </w:rPr>
        <w:t>-202</w:t>
      </w:r>
      <w:r w:rsidR="00886A86">
        <w:rPr>
          <w:rFonts w:ascii="Times New Roman" w:hAnsi="Times New Roman"/>
          <w:sz w:val="28"/>
          <w:szCs w:val="28"/>
        </w:rPr>
        <w:t>6</w:t>
      </w:r>
      <w:r w:rsidR="00EB27DB" w:rsidRPr="00EB27DB">
        <w:rPr>
          <w:rFonts w:ascii="Times New Roman" w:hAnsi="Times New Roman"/>
          <w:sz w:val="28"/>
          <w:szCs w:val="28"/>
        </w:rPr>
        <w:t xml:space="preserve"> годы</w:t>
      </w:r>
      <w:r w:rsidR="008E182F">
        <w:rPr>
          <w:rFonts w:ascii="Times New Roman" w:hAnsi="Times New Roman"/>
          <w:sz w:val="28"/>
          <w:szCs w:val="28"/>
        </w:rPr>
        <w:t>, утверждена п</w:t>
      </w:r>
      <w:r w:rsidR="00AD7CF6">
        <w:rPr>
          <w:rFonts w:ascii="Times New Roman" w:hAnsi="Times New Roman"/>
          <w:sz w:val="28"/>
          <w:szCs w:val="28"/>
        </w:rPr>
        <w:t xml:space="preserve">остановлением администрации от </w:t>
      </w:r>
      <w:r w:rsidR="00886A86">
        <w:rPr>
          <w:rFonts w:ascii="Times New Roman" w:hAnsi="Times New Roman"/>
          <w:sz w:val="28"/>
          <w:szCs w:val="28"/>
        </w:rPr>
        <w:t>2</w:t>
      </w:r>
      <w:r w:rsidR="00AD7CF6">
        <w:rPr>
          <w:rFonts w:ascii="Times New Roman" w:hAnsi="Times New Roman"/>
          <w:sz w:val="28"/>
          <w:szCs w:val="28"/>
        </w:rPr>
        <w:t>2</w:t>
      </w:r>
      <w:r w:rsidR="008E182F">
        <w:rPr>
          <w:rFonts w:ascii="Times New Roman" w:hAnsi="Times New Roman"/>
          <w:sz w:val="28"/>
          <w:szCs w:val="28"/>
        </w:rPr>
        <w:t xml:space="preserve"> </w:t>
      </w:r>
      <w:r w:rsidR="00AD7CF6">
        <w:rPr>
          <w:rFonts w:ascii="Times New Roman" w:hAnsi="Times New Roman"/>
          <w:sz w:val="28"/>
          <w:szCs w:val="28"/>
        </w:rPr>
        <w:t>декабря</w:t>
      </w:r>
      <w:r w:rsidR="008E182F">
        <w:rPr>
          <w:rFonts w:ascii="Times New Roman" w:hAnsi="Times New Roman"/>
          <w:sz w:val="28"/>
          <w:szCs w:val="28"/>
        </w:rPr>
        <w:t xml:space="preserve"> 202</w:t>
      </w:r>
      <w:r w:rsidR="00886A86">
        <w:rPr>
          <w:rFonts w:ascii="Times New Roman" w:hAnsi="Times New Roman"/>
          <w:sz w:val="28"/>
          <w:szCs w:val="28"/>
        </w:rPr>
        <w:t>3</w:t>
      </w:r>
      <w:r w:rsidR="008E182F">
        <w:rPr>
          <w:rFonts w:ascii="Times New Roman" w:hAnsi="Times New Roman"/>
          <w:sz w:val="28"/>
          <w:szCs w:val="28"/>
        </w:rPr>
        <w:t xml:space="preserve"> года №</w:t>
      </w:r>
      <w:r w:rsidR="00AD7CF6">
        <w:rPr>
          <w:rFonts w:ascii="Times New Roman" w:hAnsi="Times New Roman"/>
          <w:sz w:val="28"/>
          <w:szCs w:val="28"/>
        </w:rPr>
        <w:t>8</w:t>
      </w:r>
      <w:r w:rsidR="00886A86">
        <w:rPr>
          <w:rFonts w:ascii="Times New Roman" w:hAnsi="Times New Roman"/>
          <w:sz w:val="28"/>
          <w:szCs w:val="28"/>
        </w:rPr>
        <w:t>63</w:t>
      </w:r>
      <w:r w:rsidR="00BF4021">
        <w:rPr>
          <w:rFonts w:ascii="Times New Roman" w:hAnsi="Times New Roman"/>
          <w:sz w:val="28"/>
          <w:szCs w:val="28"/>
        </w:rPr>
        <w:t xml:space="preserve"> (с изменениями от 28.02.2024 №163, от 28.02.2024 №164, от 20.06.2024 №408)</w:t>
      </w:r>
    </w:p>
    <w:p w14:paraId="0C1C965F" w14:textId="0AF06DAD" w:rsidR="008E1C8D" w:rsidRPr="000E16D2" w:rsidRDefault="005D6676" w:rsidP="00172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16D2">
        <w:rPr>
          <w:rFonts w:ascii="Times New Roman" w:hAnsi="Times New Roman" w:cs="Times New Roman"/>
          <w:bCs/>
          <w:sz w:val="20"/>
          <w:szCs w:val="20"/>
        </w:rPr>
        <w:t xml:space="preserve">Отчетный </w:t>
      </w:r>
      <w:proofErr w:type="gramStart"/>
      <w:r w:rsidRPr="000E16D2">
        <w:rPr>
          <w:rFonts w:ascii="Times New Roman" w:hAnsi="Times New Roman" w:cs="Times New Roman"/>
          <w:bCs/>
          <w:sz w:val="20"/>
          <w:szCs w:val="20"/>
        </w:rPr>
        <w:t xml:space="preserve">период: </w:t>
      </w:r>
      <w:r w:rsidR="008E1C8D" w:rsidRPr="000E16D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153B7">
        <w:rPr>
          <w:rFonts w:ascii="Times New Roman" w:hAnsi="Times New Roman" w:cs="Times New Roman"/>
          <w:bCs/>
          <w:sz w:val="20"/>
          <w:szCs w:val="20"/>
        </w:rPr>
        <w:t>январь</w:t>
      </w:r>
      <w:proofErr w:type="gramEnd"/>
      <w:r w:rsidR="00D153B7">
        <w:rPr>
          <w:rFonts w:ascii="Times New Roman" w:hAnsi="Times New Roman" w:cs="Times New Roman"/>
          <w:bCs/>
          <w:sz w:val="20"/>
          <w:szCs w:val="20"/>
        </w:rPr>
        <w:t>-</w:t>
      </w:r>
      <w:r w:rsidR="00541CFF">
        <w:rPr>
          <w:rFonts w:ascii="Times New Roman" w:hAnsi="Times New Roman" w:cs="Times New Roman"/>
          <w:bCs/>
          <w:sz w:val="20"/>
          <w:szCs w:val="20"/>
        </w:rPr>
        <w:t>сентябр</w:t>
      </w:r>
      <w:r w:rsidR="009B0B3B">
        <w:rPr>
          <w:rFonts w:ascii="Times New Roman" w:hAnsi="Times New Roman" w:cs="Times New Roman"/>
          <w:bCs/>
          <w:sz w:val="20"/>
          <w:szCs w:val="20"/>
        </w:rPr>
        <w:t xml:space="preserve">ь </w:t>
      </w:r>
      <w:r w:rsidR="008C0659" w:rsidRPr="000E16D2">
        <w:rPr>
          <w:rFonts w:ascii="Times New Roman" w:hAnsi="Times New Roman" w:cs="Times New Roman"/>
          <w:bCs/>
          <w:sz w:val="20"/>
          <w:szCs w:val="20"/>
        </w:rPr>
        <w:t>20</w:t>
      </w:r>
      <w:r w:rsidR="00EB27DB">
        <w:rPr>
          <w:rFonts w:ascii="Times New Roman" w:hAnsi="Times New Roman" w:cs="Times New Roman"/>
          <w:bCs/>
          <w:sz w:val="20"/>
          <w:szCs w:val="20"/>
        </w:rPr>
        <w:t>2</w:t>
      </w:r>
      <w:r w:rsidR="00886A86">
        <w:rPr>
          <w:rFonts w:ascii="Times New Roman" w:hAnsi="Times New Roman" w:cs="Times New Roman"/>
          <w:bCs/>
          <w:sz w:val="20"/>
          <w:szCs w:val="20"/>
        </w:rPr>
        <w:t>4</w:t>
      </w:r>
      <w:r w:rsidR="008E1C8D" w:rsidRPr="000E16D2">
        <w:rPr>
          <w:rFonts w:ascii="Times New Roman" w:hAnsi="Times New Roman" w:cs="Times New Roman"/>
          <w:bCs/>
          <w:sz w:val="20"/>
          <w:szCs w:val="20"/>
        </w:rPr>
        <w:t xml:space="preserve"> год</w:t>
      </w:r>
      <w:r w:rsidR="008C0659" w:rsidRPr="000E16D2">
        <w:rPr>
          <w:rFonts w:ascii="Times New Roman" w:hAnsi="Times New Roman" w:cs="Times New Roman"/>
          <w:bCs/>
          <w:sz w:val="20"/>
          <w:szCs w:val="20"/>
        </w:rPr>
        <w:t>а</w:t>
      </w:r>
      <w:r w:rsidR="00172792">
        <w:rPr>
          <w:rFonts w:ascii="Times New Roman" w:hAnsi="Times New Roman" w:cs="Times New Roman"/>
          <w:bCs/>
          <w:sz w:val="20"/>
          <w:szCs w:val="20"/>
        </w:rPr>
        <w:t xml:space="preserve">.  </w:t>
      </w:r>
      <w:r w:rsidRPr="000E16D2">
        <w:rPr>
          <w:rFonts w:ascii="Times New Roman" w:hAnsi="Times New Roman" w:cs="Times New Roman"/>
          <w:bCs/>
          <w:sz w:val="20"/>
          <w:szCs w:val="20"/>
        </w:rPr>
        <w:t xml:space="preserve">Ответственный исполнитель: </w:t>
      </w:r>
      <w:r w:rsidR="003E3578" w:rsidRPr="000E16D2">
        <w:rPr>
          <w:rFonts w:ascii="Times New Roman" w:hAnsi="Times New Roman" w:cs="Times New Roman"/>
          <w:bCs/>
          <w:sz w:val="20"/>
          <w:szCs w:val="20"/>
          <w:u w:val="single"/>
        </w:rPr>
        <w:t>Васильева О.А.</w:t>
      </w:r>
    </w:p>
    <w:p w14:paraId="3FC169A4" w14:textId="77777777" w:rsidR="008E1C8D" w:rsidRPr="000E16D2" w:rsidRDefault="008E1C8D" w:rsidP="00A155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583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516"/>
        <w:gridCol w:w="964"/>
        <w:gridCol w:w="794"/>
        <w:gridCol w:w="680"/>
        <w:gridCol w:w="737"/>
        <w:gridCol w:w="964"/>
        <w:gridCol w:w="755"/>
        <w:gridCol w:w="719"/>
        <w:gridCol w:w="557"/>
        <w:gridCol w:w="1144"/>
        <w:gridCol w:w="794"/>
        <w:gridCol w:w="737"/>
        <w:gridCol w:w="737"/>
        <w:gridCol w:w="1116"/>
        <w:gridCol w:w="887"/>
      </w:tblGrid>
      <w:tr w:rsidR="008E1C8D" w:rsidRPr="000E16D2" w14:paraId="53AF8569" w14:textId="77777777" w:rsidTr="00361A91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9C14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B3DC" w14:textId="77777777" w:rsidR="008E1C8D" w:rsidRPr="000E16D2" w:rsidRDefault="008E1C8D" w:rsidP="008C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  <w:r w:rsidR="008C0659"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муниципальной программы, подпрограммы, </w:t>
            </w: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осн</w:t>
            </w:r>
            <w:r w:rsidR="008C0659"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овного мероприятия, мероприятия, проекта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DDDA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финансового обеспечения муниципальной программы в отчетном году (тыс. рублей)</w:t>
            </w: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F9B7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Фактическое 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D5B1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Выполнено на отчетную дату (нарастающим итогом) (тыс. рублей)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DD03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достигнутых результатах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A3B8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выполнения</w:t>
            </w:r>
          </w:p>
        </w:tc>
      </w:tr>
      <w:tr w:rsidR="008E1C8D" w:rsidRPr="000E16D2" w14:paraId="6D919FA1" w14:textId="77777777" w:rsidTr="00361A91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F67F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2873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941A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787E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6BD1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F5EF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B6D4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B728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790E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1422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348B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8A52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2CC1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AE1A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C195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5C6D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E1C8D" w:rsidRPr="000E16D2" w14:paraId="6B1BB862" w14:textId="77777777" w:rsidTr="00361A9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E21F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71D7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0FE2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Par1414"/>
            <w:bookmarkEnd w:id="0"/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3595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5EDC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ED93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" w:name="Par1417"/>
            <w:bookmarkEnd w:id="1"/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719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" w:name="Par1418"/>
            <w:bookmarkEnd w:id="2"/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CADA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CED5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9FB7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3" w:name="Par1421"/>
            <w:bookmarkEnd w:id="3"/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FD41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4" w:name="Par1422"/>
            <w:bookmarkEnd w:id="4"/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9548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CFDC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098E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5" w:name="Par1425"/>
            <w:bookmarkEnd w:id="5"/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763C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6" w:name="Par1426"/>
            <w:bookmarkEnd w:id="6"/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B9FB" w14:textId="77777777" w:rsidR="008E1C8D" w:rsidRPr="000E16D2" w:rsidRDefault="008E1C8D" w:rsidP="003E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7" w:name="Par1427"/>
            <w:bookmarkEnd w:id="7"/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361A91" w:rsidRPr="000A710A" w14:paraId="74912A2D" w14:textId="77777777" w:rsidTr="00361A91">
        <w:trPr>
          <w:trHeight w:val="10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7E84" w14:textId="77777777" w:rsidR="00361A91" w:rsidRPr="000A710A" w:rsidRDefault="00361A91" w:rsidP="0036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4B9E" w14:textId="77777777" w:rsidR="00361A91" w:rsidRPr="008E182F" w:rsidRDefault="00361A91" w:rsidP="0036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182F">
              <w:rPr>
                <w:rFonts w:ascii="Times New Roman" w:hAnsi="Times New Roman" w:cs="Times New Roman"/>
                <w:b/>
              </w:rPr>
              <w:t xml:space="preserve">Муниципальная программа «Управление собственностью, земельными ресурсами и градостроительная деятельность </w:t>
            </w:r>
            <w:proofErr w:type="spellStart"/>
            <w:r w:rsidRPr="008E182F">
              <w:rPr>
                <w:rFonts w:ascii="Times New Roman" w:hAnsi="Times New Roman"/>
                <w:b/>
              </w:rPr>
              <w:t>Пикалевского</w:t>
            </w:r>
            <w:proofErr w:type="spellEnd"/>
            <w:r w:rsidRPr="008E182F">
              <w:rPr>
                <w:rFonts w:ascii="Times New Roman" w:hAnsi="Times New Roman"/>
                <w:b/>
              </w:rPr>
              <w:t xml:space="preserve"> городского поселения» на 202</w:t>
            </w:r>
            <w:r>
              <w:rPr>
                <w:rFonts w:ascii="Times New Roman" w:hAnsi="Times New Roman"/>
                <w:b/>
              </w:rPr>
              <w:t>4</w:t>
            </w:r>
            <w:r w:rsidRPr="008E182F">
              <w:rPr>
                <w:rFonts w:ascii="Times New Roman" w:hAnsi="Times New Roman"/>
                <w:b/>
              </w:rPr>
              <w:t>-202</w:t>
            </w:r>
            <w:r>
              <w:rPr>
                <w:rFonts w:ascii="Times New Roman" w:hAnsi="Times New Roman"/>
                <w:b/>
              </w:rPr>
              <w:t>6</w:t>
            </w:r>
            <w:r w:rsidRPr="008E182F">
              <w:rPr>
                <w:rFonts w:ascii="Times New Roman" w:hAnsi="Times New Roman"/>
                <w:b/>
              </w:rPr>
              <w:t xml:space="preserve"> годы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D90C" w14:textId="77777777" w:rsidR="00361A91" w:rsidRPr="000A710A" w:rsidRDefault="00361A91" w:rsidP="0036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635E" w14:textId="77777777" w:rsidR="00361A91" w:rsidRPr="000A710A" w:rsidRDefault="00361A91" w:rsidP="0036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123519,76315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0E52" w14:textId="79F02DEE" w:rsidR="00361A91" w:rsidRPr="000A710A" w:rsidRDefault="00361A91" w:rsidP="00C9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3989</w:t>
            </w:r>
            <w:r w:rsidR="00C926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,61107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65B0" w14:textId="77777777" w:rsidR="00361A91" w:rsidRPr="000A710A" w:rsidRDefault="00361A91" w:rsidP="0036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DB31" w14:textId="77777777" w:rsidR="00361A91" w:rsidRPr="000A710A" w:rsidRDefault="00361A91" w:rsidP="0036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C0DD" w14:textId="13A4092B" w:rsidR="00361A91" w:rsidRPr="000A710A" w:rsidRDefault="00361A91" w:rsidP="0036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28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19769,25715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C4DC" w14:textId="52D09CB6" w:rsidR="00361A91" w:rsidRPr="000A710A" w:rsidRDefault="00361A91" w:rsidP="0036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21151,84441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1F4F" w14:textId="77777777" w:rsidR="00361A91" w:rsidRPr="000A710A" w:rsidRDefault="00361A91" w:rsidP="0036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0F69" w14:textId="77777777" w:rsidR="00361A91" w:rsidRPr="000A710A" w:rsidRDefault="00361A91" w:rsidP="0036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16B2" w14:textId="615D077E" w:rsidR="00361A91" w:rsidRPr="000A710A" w:rsidRDefault="00361A91" w:rsidP="0036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28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19769,25715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858E" w14:textId="0936220C" w:rsidR="00361A91" w:rsidRPr="000A710A" w:rsidRDefault="00361A91" w:rsidP="0036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21151,84441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58BA" w14:textId="77777777" w:rsidR="00361A91" w:rsidRPr="000A710A" w:rsidRDefault="00361A91" w:rsidP="0036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9DA2" w14:textId="76A7AEF6" w:rsidR="00361A91" w:rsidRPr="000A710A" w:rsidRDefault="00C9261C" w:rsidP="00C9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361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361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FCF6" w14:textId="77777777" w:rsidR="00361A91" w:rsidRPr="000A710A" w:rsidRDefault="00361A91" w:rsidP="0036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4725" w:rsidRPr="000E16D2" w14:paraId="682D4B01" w14:textId="77777777" w:rsidTr="00BC38BA">
        <w:trPr>
          <w:cantSplit/>
          <w:trHeight w:val="308"/>
        </w:trPr>
        <w:tc>
          <w:tcPr>
            <w:tcW w:w="158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0520" w14:textId="77777777" w:rsidR="00A64725" w:rsidRPr="005852BB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283F" w:rsidRPr="000E16D2" w14:paraId="33B57D94" w14:textId="77777777" w:rsidTr="00361A91">
        <w:trPr>
          <w:cantSplit/>
          <w:trHeight w:val="110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4FEA" w14:textId="77777777" w:rsidR="00D3283F" w:rsidRPr="000E16D2" w:rsidRDefault="00D3283F" w:rsidP="00D3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905D" w14:textId="77777777" w:rsidR="00D3283F" w:rsidRPr="005852BB" w:rsidRDefault="00D3283F" w:rsidP="00D32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проект «</w:t>
            </w:r>
            <w:r w:rsidRPr="00BC38B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Обеспечение устойчивого сокращения непригодного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для проживания жилищного фонда»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F6C9" w14:textId="77777777" w:rsidR="00D3283F" w:rsidRPr="005852BB" w:rsidRDefault="00D3283F" w:rsidP="00D3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3CF0" w14:textId="77777777" w:rsidR="00D3283F" w:rsidRPr="007F52A2" w:rsidRDefault="00D3283F" w:rsidP="00D3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123519,76315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7457" w14:textId="77777777" w:rsidR="00D3283F" w:rsidRPr="007F52A2" w:rsidRDefault="00D3283F" w:rsidP="00D3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2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1247,67438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0D71" w14:textId="77777777" w:rsidR="00D3283F" w:rsidRPr="005852BB" w:rsidRDefault="00D3283F" w:rsidP="00D3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67BE" w14:textId="77777777" w:rsidR="00D3283F" w:rsidRPr="005852BB" w:rsidRDefault="00D3283F" w:rsidP="00D3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A6A3" w14:textId="6617B8E4" w:rsidR="00D3283F" w:rsidRPr="00D3283F" w:rsidRDefault="00D3283F" w:rsidP="00D3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28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19769,25715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810D" w14:textId="6B444707" w:rsidR="00D3283F" w:rsidRPr="00D3283F" w:rsidRDefault="00D3283F" w:rsidP="00D3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28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186,85585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8E4A" w14:textId="77777777" w:rsidR="00D3283F" w:rsidRPr="005852BB" w:rsidRDefault="00D3283F" w:rsidP="00D3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7A0E" w14:textId="77777777" w:rsidR="00D3283F" w:rsidRPr="005852BB" w:rsidRDefault="00D3283F" w:rsidP="00D3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6EBC" w14:textId="214EC645" w:rsidR="00D3283F" w:rsidRPr="00D3283F" w:rsidRDefault="00D3283F" w:rsidP="00D3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28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19769,25715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01AD" w14:textId="6B05EFFF" w:rsidR="00D3283F" w:rsidRPr="00D3283F" w:rsidRDefault="00D3283F" w:rsidP="00D3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28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186,85585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52D1" w14:textId="77777777" w:rsidR="00D3283F" w:rsidRPr="005852BB" w:rsidRDefault="00D3283F" w:rsidP="00D3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F744" w14:textId="7CF3D55D" w:rsidR="00D3283F" w:rsidRDefault="00D3283F" w:rsidP="00D3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AF4A" w14:textId="77777777" w:rsidR="00D3283F" w:rsidRPr="005852BB" w:rsidRDefault="00D3283F" w:rsidP="00D3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283F" w:rsidRPr="000E16D2" w14:paraId="189A5BCE" w14:textId="77777777" w:rsidTr="00361A91">
        <w:trPr>
          <w:cantSplit/>
          <w:trHeight w:val="110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6C7C" w14:textId="77777777" w:rsidR="00D3283F" w:rsidRPr="000E16D2" w:rsidRDefault="00D3283F" w:rsidP="00D3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A319" w14:textId="77777777" w:rsidR="00D3283F" w:rsidRPr="00AA684F" w:rsidRDefault="00D3283F" w:rsidP="00D32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84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A68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Обеспечение устойчивого сокращения непригодного для проживания жилищного фонда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A596" w14:textId="77777777" w:rsidR="00D3283F" w:rsidRPr="00AA684F" w:rsidRDefault="00D3283F" w:rsidP="00D3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84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4B7A" w14:textId="77777777" w:rsidR="00D3283F" w:rsidRPr="00AA684F" w:rsidRDefault="00D3283F" w:rsidP="00D3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84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AA684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  <w:r w:rsidRPr="00AA684F">
              <w:rPr>
                <w:rFonts w:ascii="Times New Roman" w:hAnsi="Times New Roman" w:cs="Times New Roman"/>
                <w:bCs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76315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6BF3" w14:textId="77777777" w:rsidR="00D3283F" w:rsidRPr="00AA684F" w:rsidRDefault="00D3283F" w:rsidP="00D3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1247,67438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2105" w14:textId="77777777" w:rsidR="00D3283F" w:rsidRPr="005852BB" w:rsidRDefault="00D3283F" w:rsidP="00D3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8B31" w14:textId="77777777" w:rsidR="00D3283F" w:rsidRPr="005852BB" w:rsidRDefault="00D3283F" w:rsidP="00D3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B07D" w14:textId="5ACF3B42" w:rsidR="00D3283F" w:rsidRPr="007F52A2" w:rsidRDefault="00D3283F" w:rsidP="00D3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19769,25715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9582" w14:textId="503729A6" w:rsidR="00D3283F" w:rsidRPr="007F52A2" w:rsidRDefault="00D3283F" w:rsidP="00D3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186,85585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7DDC" w14:textId="77777777" w:rsidR="00D3283F" w:rsidRPr="005852BB" w:rsidRDefault="00D3283F" w:rsidP="00D3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2E67" w14:textId="77777777" w:rsidR="00D3283F" w:rsidRPr="005852BB" w:rsidRDefault="00D3283F" w:rsidP="00D3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D1DA" w14:textId="4A2EE25B" w:rsidR="00D3283F" w:rsidRPr="007F52A2" w:rsidRDefault="00D3283F" w:rsidP="00D3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19769,25715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6705" w14:textId="5D63D5C4" w:rsidR="00D3283F" w:rsidRPr="007F52A2" w:rsidRDefault="00D3283F" w:rsidP="00D3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186,85585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07F4" w14:textId="77777777" w:rsidR="00D3283F" w:rsidRPr="005852BB" w:rsidRDefault="00D3283F" w:rsidP="00D3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ED03" w14:textId="73ADE23E" w:rsidR="00D3283F" w:rsidRPr="00693674" w:rsidRDefault="00D3283F" w:rsidP="00D3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69367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693674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6FF9" w14:textId="77777777" w:rsidR="00D3283F" w:rsidRPr="005852BB" w:rsidRDefault="00D3283F" w:rsidP="00D3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4725" w:rsidRPr="000E16D2" w14:paraId="42A0506A" w14:textId="77777777" w:rsidTr="00361A91">
        <w:trPr>
          <w:cantSplit/>
          <w:trHeight w:val="110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B816" w14:textId="77777777" w:rsidR="00A64725" w:rsidRPr="000E16D2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246C" w14:textId="77777777" w:rsidR="00A64725" w:rsidRPr="005852BB" w:rsidRDefault="00A64725" w:rsidP="00A647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1  «Управление муниципальной собственностью»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39A" w14:textId="77777777" w:rsidR="00A64725" w:rsidRPr="005852BB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DF8C" w14:textId="77777777" w:rsidR="00A64725" w:rsidRPr="005852BB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C4F8" w14:textId="69AFC281" w:rsidR="00A64725" w:rsidRPr="005852BB" w:rsidRDefault="00BF3E83" w:rsidP="007F1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1754</w:t>
            </w:r>
            <w:r w:rsidR="007F1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,22970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2007" w14:textId="77777777" w:rsidR="00A64725" w:rsidRPr="005852BB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6C0" w14:textId="77777777" w:rsidR="00A64725" w:rsidRPr="005852BB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050C" w14:textId="77777777" w:rsidR="00A64725" w:rsidRPr="005852BB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430D" w14:textId="3521F37F" w:rsidR="00A64725" w:rsidRPr="005852BB" w:rsidRDefault="00BF3E83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8432,42766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0B35" w14:textId="77777777" w:rsidR="00A64725" w:rsidRPr="005852BB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E704" w14:textId="77777777" w:rsidR="00A64725" w:rsidRPr="005852BB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5A78" w14:textId="77777777" w:rsidR="00A64725" w:rsidRPr="005852BB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9B83" w14:textId="3D9B1D38" w:rsidR="00A64725" w:rsidRPr="005852BB" w:rsidRDefault="00BF3E83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8432,42766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DC6A" w14:textId="77777777" w:rsidR="00A64725" w:rsidRPr="005852BB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9098" w14:textId="76572F90" w:rsidR="00A64725" w:rsidRPr="005852BB" w:rsidRDefault="007A05DD" w:rsidP="007F1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F1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A647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64725"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F901" w14:textId="77777777" w:rsidR="00A64725" w:rsidRPr="005852BB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4725" w:rsidRPr="000E16D2" w14:paraId="70A9C711" w14:textId="77777777" w:rsidTr="00361A91">
        <w:trPr>
          <w:cantSplit/>
          <w:trHeight w:val="83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BD11" w14:textId="77777777" w:rsidR="00A64725" w:rsidRPr="000E16D2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E9DB" w14:textId="77777777" w:rsidR="00A64725" w:rsidRDefault="00A64725" w:rsidP="00A64725">
            <w:pPr>
              <w:pStyle w:val="a6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1E45" w14:textId="77777777" w:rsidR="00A64725" w:rsidRPr="000E16D2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213E" w14:textId="77777777" w:rsidR="00A64725" w:rsidRPr="000E16D2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421B" w14:textId="77777777" w:rsidR="00A64725" w:rsidRDefault="00693674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1603,79559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E5F1" w14:textId="77777777" w:rsidR="00A64725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A1E" w14:textId="77777777" w:rsidR="00A64725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7307" w14:textId="77777777" w:rsidR="00A64725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9AE1" w14:textId="77777777" w:rsidR="00A64725" w:rsidRDefault="00693674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1603,79559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5A38" w14:textId="77777777" w:rsidR="00A64725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DDD4" w14:textId="77777777" w:rsidR="00A64725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CC6F" w14:textId="77777777" w:rsidR="00A64725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7D90" w14:textId="77777777" w:rsidR="00A64725" w:rsidRDefault="00693674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1603,79559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E2D8" w14:textId="77777777" w:rsidR="00A64725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30A9" w14:textId="77777777" w:rsidR="00A64725" w:rsidRDefault="00693674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  <w:r w:rsidR="00A64725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CC70" w14:textId="77777777" w:rsidR="00A64725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4725" w:rsidRPr="000E16D2" w14:paraId="40865ACA" w14:textId="77777777" w:rsidTr="00361A91">
        <w:trPr>
          <w:cantSplit/>
          <w:trHeight w:val="83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C40C" w14:textId="77777777" w:rsidR="00A64725" w:rsidRPr="000E16D2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D75B" w14:textId="77777777" w:rsidR="00A64725" w:rsidRPr="00C5318B" w:rsidRDefault="00A64725" w:rsidP="00A64725">
            <w:pPr>
              <w:pStyle w:val="a6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8"/>
              <w:rPr>
                <w:rFonts w:ascii="Times New Roman" w:hAnsi="Times New Roman" w:cs="Times New Roman"/>
                <w:sz w:val="20"/>
                <w:szCs w:val="20"/>
              </w:rPr>
            </w:pPr>
            <w:r w:rsidRPr="00C5318B">
              <w:rPr>
                <w:rFonts w:ascii="Times New Roman" w:hAnsi="Times New Roman" w:cs="Times New Roman"/>
                <w:sz w:val="20"/>
                <w:szCs w:val="20"/>
              </w:rPr>
              <w:t>Владение, пользование и распоряжение муниципальной собственностью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6D1D" w14:textId="77777777" w:rsidR="00A64725" w:rsidRPr="000E16D2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CE14" w14:textId="77777777" w:rsidR="00A64725" w:rsidRPr="000E16D2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85E4" w14:textId="66C05565" w:rsidR="00A64725" w:rsidRPr="000E16D2" w:rsidRDefault="00D3283F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9448,43411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779C" w14:textId="77777777" w:rsidR="00A64725" w:rsidRPr="000E16D2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7835" w14:textId="77777777" w:rsidR="00A64725" w:rsidRPr="000E16D2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6F9C" w14:textId="77777777" w:rsidR="00A64725" w:rsidRPr="000E16D2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6BCA" w14:textId="542C6BEA" w:rsidR="00A64725" w:rsidRPr="000E16D2" w:rsidRDefault="00D3283F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2833,87067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2675" w14:textId="77777777" w:rsidR="00A64725" w:rsidRPr="000E16D2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3CEE" w14:textId="77777777" w:rsidR="00A64725" w:rsidRPr="000E16D2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BEB" w14:textId="77777777" w:rsidR="00A64725" w:rsidRPr="000E16D2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F799" w14:textId="16372E50" w:rsidR="00A64725" w:rsidRPr="000E16D2" w:rsidRDefault="00D3283F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2833,</w:t>
            </w:r>
            <w:r w:rsidR="0069367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8F63" w14:textId="77777777" w:rsidR="00A64725" w:rsidRPr="000E16D2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8488" w14:textId="0924E420" w:rsidR="00A64725" w:rsidRPr="000E16D2" w:rsidRDefault="00693674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B12D0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A6472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B12D0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A64725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3EC1" w14:textId="77777777" w:rsidR="00A64725" w:rsidRPr="000E16D2" w:rsidRDefault="00A64725" w:rsidP="00A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0B3B" w:rsidRPr="002F15AC" w14:paraId="02ECE646" w14:textId="77777777" w:rsidTr="00361A91">
        <w:trPr>
          <w:cantSplit/>
          <w:trHeight w:val="86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C7B4" w14:textId="77777777" w:rsidR="009B0B3B" w:rsidRPr="002F15AC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39CD" w14:textId="77777777" w:rsidR="009B0B3B" w:rsidRPr="002F15AC" w:rsidRDefault="009B0B3B" w:rsidP="009B0B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5A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F15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318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фонда капитального ремонта многоквартирных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5F97" w14:textId="77777777" w:rsidR="009B0B3B" w:rsidRPr="002F15AC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5A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EFD5" w14:textId="77777777" w:rsidR="009B0B3B" w:rsidRPr="002F15AC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5A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9F43" w14:textId="77777777" w:rsidR="009B0B3B" w:rsidRPr="002F15AC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6102,00000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A1DC" w14:textId="77777777" w:rsidR="009B0B3B" w:rsidRPr="002F15AC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5A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4A91" w14:textId="77777777" w:rsidR="009B0B3B" w:rsidRPr="002F15AC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5A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67C0" w14:textId="77777777" w:rsidR="009B0B3B" w:rsidRPr="002F15AC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5A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311A" w14:textId="441BCAC1" w:rsidR="009B0B3B" w:rsidRPr="002F15AC" w:rsidRDefault="00B12D05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3994,76140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920D" w14:textId="77777777" w:rsidR="009B0B3B" w:rsidRPr="002F15AC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5A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F43B" w14:textId="77777777" w:rsidR="009B0B3B" w:rsidRPr="002F15AC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5A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70D8" w14:textId="77777777" w:rsidR="009B0B3B" w:rsidRPr="002F15AC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5A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0082" w14:textId="423F68B9" w:rsidR="009B0B3B" w:rsidRPr="002F15AC" w:rsidRDefault="00B12D05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3994,76140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669A" w14:textId="77777777" w:rsidR="009B0B3B" w:rsidRPr="002F15AC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5A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E0AA" w14:textId="35DD7682" w:rsidR="009B0B3B" w:rsidRPr="002F15AC" w:rsidRDefault="00B12D05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65,5</w:t>
            </w:r>
            <w:r w:rsidR="009B0B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8E82" w14:textId="77777777" w:rsidR="009B0B3B" w:rsidRPr="002F15AC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3E83" w:rsidRPr="005852BB" w14:paraId="431DD1B0" w14:textId="77777777" w:rsidTr="00361A91">
        <w:trPr>
          <w:cantSplit/>
          <w:trHeight w:val="78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BDA0" w14:textId="77777777" w:rsidR="00BF3E83" w:rsidRPr="007F1AA3" w:rsidRDefault="00BF3E83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79E5" w14:textId="69C397BA" w:rsidR="00BF3E83" w:rsidRPr="007F1AA3" w:rsidRDefault="00BF3E83" w:rsidP="00B12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1AA3">
              <w:rPr>
                <w:rFonts w:ascii="Times New Roman" w:hAnsi="Times New Roman" w:cs="Times New Roman"/>
                <w:sz w:val="20"/>
                <w:szCs w:val="20"/>
              </w:rPr>
              <w:t>1.4.Мероприятия по организации транспортного обслуживания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06B5" w14:textId="23D6F90D" w:rsidR="00BF3E83" w:rsidRPr="007F1AA3" w:rsidRDefault="007F1AA3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AA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104B" w14:textId="091D2445" w:rsidR="00BF3E83" w:rsidRPr="007F1AA3" w:rsidRDefault="007F1AA3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AA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D79D" w14:textId="48CF8A1A" w:rsidR="00BF3E83" w:rsidRPr="007F1AA3" w:rsidRDefault="007F1AA3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AA3">
              <w:rPr>
                <w:rFonts w:ascii="Times New Roman" w:hAnsi="Times New Roman" w:cs="Times New Roman"/>
                <w:bCs/>
                <w:sz w:val="20"/>
                <w:szCs w:val="20"/>
              </w:rPr>
              <w:t>387,00000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735F" w14:textId="5CF1ED7F" w:rsidR="00BF3E83" w:rsidRPr="007F1AA3" w:rsidRDefault="007F1AA3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AA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D0B9" w14:textId="48310A1C" w:rsidR="00BF3E83" w:rsidRPr="007F1AA3" w:rsidRDefault="007F1AA3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AA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3D28" w14:textId="1C5DC05F" w:rsidR="00BF3E83" w:rsidRPr="007F1AA3" w:rsidRDefault="007F1AA3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AA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17EC" w14:textId="589F0744" w:rsidR="00BF3E83" w:rsidRPr="007F1AA3" w:rsidRDefault="007F1AA3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AA3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A442" w14:textId="67E6A473" w:rsidR="00BF3E83" w:rsidRPr="007F1AA3" w:rsidRDefault="007F1AA3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AA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448D" w14:textId="163FCD6F" w:rsidR="00BF3E83" w:rsidRPr="007F1AA3" w:rsidRDefault="007F1AA3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AA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C77E" w14:textId="28B8E641" w:rsidR="00BF3E83" w:rsidRPr="007F1AA3" w:rsidRDefault="007F1AA3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AA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E066" w14:textId="586617AA" w:rsidR="00BF3E83" w:rsidRPr="007F1AA3" w:rsidRDefault="007F1AA3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AA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88AA" w14:textId="5FA6BC9B" w:rsidR="00BF3E83" w:rsidRPr="007F1AA3" w:rsidRDefault="007F1AA3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AA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B2E7" w14:textId="1A9E7D13" w:rsidR="00BF3E83" w:rsidRPr="007F1AA3" w:rsidRDefault="007F1AA3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AA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3D42" w14:textId="77777777" w:rsidR="00BF3E83" w:rsidRPr="007F1AA3" w:rsidRDefault="00BF3E83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2D05" w:rsidRPr="005852BB" w14:paraId="033E8A60" w14:textId="77777777" w:rsidTr="00361A91">
        <w:trPr>
          <w:cantSplit/>
          <w:trHeight w:val="134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C520" w14:textId="77777777" w:rsidR="00B12D05" w:rsidRPr="005852BB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3139" w14:textId="77777777" w:rsidR="00B12D05" w:rsidRPr="005852BB" w:rsidRDefault="00B12D05" w:rsidP="00B12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2  «Строительство, архитектура и градостроительная деятельность»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24F6" w14:textId="77777777" w:rsidR="00B12D05" w:rsidRPr="005852BB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AF42" w14:textId="77777777" w:rsidR="00B12D05" w:rsidRPr="005852BB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22A" w14:textId="77777777" w:rsidR="00B12D05" w:rsidRPr="009B0B3B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0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979,53108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F145" w14:textId="77777777" w:rsidR="00B12D05" w:rsidRPr="005852BB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C001" w14:textId="77777777" w:rsidR="00B12D05" w:rsidRPr="005852BB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BB55" w14:textId="77777777" w:rsidR="00B12D05" w:rsidRPr="005852BB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84F9" w14:textId="1E1DA1CF" w:rsidR="00B12D05" w:rsidRPr="00B12D05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979,53108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F6CF" w14:textId="77777777" w:rsidR="00B12D05" w:rsidRPr="005852BB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3F6F" w14:textId="77777777" w:rsidR="00B12D05" w:rsidRPr="005852BB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762A" w14:textId="77777777" w:rsidR="00B12D05" w:rsidRPr="005852BB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183A" w14:textId="2E4DC18C" w:rsidR="00B12D05" w:rsidRPr="005852BB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2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979,53108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435D" w14:textId="77777777" w:rsidR="00B12D05" w:rsidRPr="005852BB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F58B" w14:textId="642FA042" w:rsidR="00B12D05" w:rsidRPr="005852BB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  <w:r w:rsidRPr="005852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9629" w14:textId="77777777" w:rsidR="00B12D05" w:rsidRPr="005852BB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2D05" w:rsidRPr="000E16D2" w14:paraId="13CAD6AD" w14:textId="77777777" w:rsidTr="00361A91">
        <w:trPr>
          <w:cantSplit/>
          <w:trHeight w:val="74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3282" w14:textId="77777777" w:rsidR="00B12D05" w:rsidRPr="000E16D2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7075" w14:textId="77777777" w:rsidR="00B12D05" w:rsidRPr="000E16D2" w:rsidRDefault="00B12D05" w:rsidP="00B12D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 Строительство инженерных сетей</w:t>
            </w:r>
            <w:r w:rsidRPr="000E1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1112" w14:textId="77777777" w:rsidR="00B12D05" w:rsidRPr="000E16D2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ADD7" w14:textId="77777777" w:rsidR="00B12D05" w:rsidRPr="000E16D2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E3D5" w14:textId="77777777" w:rsidR="00B12D05" w:rsidRPr="000E16D2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979,53108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03E0" w14:textId="77777777" w:rsidR="00B12D05" w:rsidRPr="000E16D2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6345" w14:textId="77777777" w:rsidR="00B12D05" w:rsidRPr="000E16D2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1F10" w14:textId="77777777" w:rsidR="00B12D05" w:rsidRPr="000E16D2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6D2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9036" w14:textId="79D720C4" w:rsidR="00B12D05" w:rsidRPr="000E16D2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979,53108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AEE" w14:textId="77777777" w:rsidR="00B12D05" w:rsidRPr="000E16D2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4B35" w14:textId="77777777" w:rsidR="00B12D05" w:rsidRPr="000E16D2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F5B7" w14:textId="77777777" w:rsidR="00B12D05" w:rsidRPr="000E16D2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2F91" w14:textId="39402211" w:rsidR="00B12D05" w:rsidRPr="000E16D2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979,53108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AF75" w14:textId="77777777" w:rsidR="00B12D05" w:rsidRPr="000E16D2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F6EA" w14:textId="0A932C75" w:rsidR="00B12D05" w:rsidRPr="000E16D2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5FEC" w14:textId="77777777" w:rsidR="00B12D05" w:rsidRPr="000E16D2" w:rsidRDefault="00B12D05" w:rsidP="00B12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1C26" w:rsidRPr="000E16D2" w14:paraId="27B36F53" w14:textId="77777777" w:rsidTr="00361A91">
        <w:trPr>
          <w:cantSplit/>
          <w:trHeight w:val="74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5ABA" w14:textId="77777777" w:rsidR="00681C26" w:rsidRPr="000E16D2" w:rsidRDefault="00681C26" w:rsidP="006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6E09" w14:textId="77777777" w:rsidR="00681C26" w:rsidRPr="00C25337" w:rsidRDefault="00681C26" w:rsidP="00681C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8B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Комплекс процессных мероприятий  3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«</w:t>
            </w:r>
            <w:r w:rsidRPr="00BC38B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Обеспечение устойчивого сокращения непригодного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для проживания жилищного фонда»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0849" w14:textId="77777777" w:rsidR="00681C26" w:rsidRPr="0022131D" w:rsidRDefault="00681C26" w:rsidP="006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1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E17C" w14:textId="77777777" w:rsidR="00681C26" w:rsidRPr="0022131D" w:rsidRDefault="00681C26" w:rsidP="006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13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53BF" w14:textId="77777777" w:rsidR="00681C26" w:rsidRPr="00681C26" w:rsidRDefault="00681C26" w:rsidP="006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1198,00000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B069" w14:textId="77777777" w:rsidR="00681C26" w:rsidRPr="00681C26" w:rsidRDefault="00681C26" w:rsidP="006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86CF" w14:textId="77777777" w:rsidR="00681C26" w:rsidRPr="00681C26" w:rsidRDefault="00681C26" w:rsidP="006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84CC" w14:textId="77777777" w:rsidR="00681C26" w:rsidRPr="00681C26" w:rsidRDefault="00681C26" w:rsidP="006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5888" w14:textId="77777777" w:rsidR="00681C26" w:rsidRPr="00681C26" w:rsidRDefault="00681C26" w:rsidP="006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1198,00000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2BC2" w14:textId="77777777" w:rsidR="00681C26" w:rsidRPr="00681C26" w:rsidRDefault="00681C26" w:rsidP="006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567E" w14:textId="77777777" w:rsidR="00681C26" w:rsidRPr="00681C26" w:rsidRDefault="00681C26" w:rsidP="006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EF47" w14:textId="77777777" w:rsidR="00681C26" w:rsidRPr="00681C26" w:rsidRDefault="00681C26" w:rsidP="006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2B0F" w14:textId="77777777" w:rsidR="00681C26" w:rsidRPr="00681C26" w:rsidRDefault="00681C26" w:rsidP="006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1198,00000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9961" w14:textId="77777777" w:rsidR="00681C26" w:rsidRPr="00681C26" w:rsidRDefault="00681C26" w:rsidP="006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1167" w14:textId="77777777" w:rsidR="00681C26" w:rsidRPr="00681C26" w:rsidRDefault="00681C26" w:rsidP="006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C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6639" w14:textId="77777777" w:rsidR="00681C26" w:rsidRPr="005852BB" w:rsidRDefault="00681C26" w:rsidP="006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0B3B" w:rsidRPr="000E16D2" w14:paraId="41FFC0C1" w14:textId="77777777" w:rsidTr="00361A91">
        <w:trPr>
          <w:cantSplit/>
          <w:trHeight w:val="74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9C18" w14:textId="77777777" w:rsidR="009B0B3B" w:rsidRPr="000E16D2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0F80" w14:textId="77777777" w:rsidR="009B0B3B" w:rsidRPr="00B37C9E" w:rsidRDefault="009B0B3B" w:rsidP="009B0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Мероприятие 3.1 Мероприятия по переселению граждан из многоквартирных домов, признанных аварийными и подлежащих сносу или реконструкции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5F9E" w14:textId="77777777" w:rsidR="009B0B3B" w:rsidRPr="000E16D2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FA20" w14:textId="77777777" w:rsidR="009B0B3B" w:rsidRPr="000E16D2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93A4" w14:textId="77777777" w:rsidR="009B0B3B" w:rsidRPr="00FC205A" w:rsidRDefault="00681C26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1198,00000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147" w14:textId="77777777" w:rsidR="009B0B3B" w:rsidRPr="0022131D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1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BB33" w14:textId="77777777" w:rsidR="009B0B3B" w:rsidRPr="0022131D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1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5529" w14:textId="77777777" w:rsidR="009B0B3B" w:rsidRPr="0022131D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1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0A98" w14:textId="77777777" w:rsidR="009B0B3B" w:rsidRPr="0022131D" w:rsidRDefault="00681C26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1198,</w:t>
            </w:r>
            <w:r w:rsidR="009B0B3B">
              <w:rPr>
                <w:rFonts w:ascii="Times New Roman" w:hAnsi="Times New Roman" w:cs="Times New Roman"/>
                <w:bCs/>
                <w:sz w:val="20"/>
                <w:szCs w:val="20"/>
              </w:rPr>
              <w:t>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3711" w14:textId="77777777" w:rsidR="009B0B3B" w:rsidRPr="0022131D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1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7CD1" w14:textId="77777777" w:rsidR="009B0B3B" w:rsidRPr="0022131D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1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184C" w14:textId="77777777" w:rsidR="009B0B3B" w:rsidRPr="0022131D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1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E232" w14:textId="77777777" w:rsidR="009B0B3B" w:rsidRPr="0022131D" w:rsidRDefault="00681C26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1198,00000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4FB0" w14:textId="77777777" w:rsidR="009B0B3B" w:rsidRPr="0022131D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1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DD45" w14:textId="77777777" w:rsidR="009B0B3B" w:rsidRPr="0022131D" w:rsidRDefault="00681C26" w:rsidP="00681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  <w:r w:rsidR="009B0B3B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9B0B3B" w:rsidRPr="0022131D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5ABB" w14:textId="77777777" w:rsidR="009B0B3B" w:rsidRPr="0022131D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0B3B" w:rsidRPr="000E16D2" w14:paraId="095FB135" w14:textId="77777777" w:rsidTr="00361A91">
        <w:trPr>
          <w:cantSplit/>
          <w:trHeight w:val="74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79AB" w14:textId="77777777" w:rsidR="009B0B3B" w:rsidRPr="000E16D2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4886" w14:textId="77777777" w:rsidR="009B0B3B" w:rsidRPr="00B37C9E" w:rsidRDefault="009B0B3B" w:rsidP="009B0B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8B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Комплекс процессных мероприятий  4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«</w:t>
            </w:r>
            <w:r w:rsidRPr="00BC38B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Административно-хозяйственное обеспечение деятельности органов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BC38B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местного самоуправления и подведомственных учреждений </w:t>
            </w:r>
            <w:proofErr w:type="spellStart"/>
            <w:r w:rsidRPr="00BC38B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калевского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городского поселения»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0763" w14:textId="77777777" w:rsidR="009B0B3B" w:rsidRPr="001A501F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181D" w14:textId="77777777" w:rsidR="009B0B3B" w:rsidRPr="001A501F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DE62" w14:textId="6DF7BE52" w:rsidR="009B0B3B" w:rsidRPr="001A501F" w:rsidRDefault="0046539E" w:rsidP="0036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</w:t>
            </w:r>
            <w:r w:rsidR="00361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,17591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4B3D" w14:textId="77777777" w:rsidR="009B0B3B" w:rsidRPr="001A501F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43BF" w14:textId="77777777" w:rsidR="009B0B3B" w:rsidRPr="001A501F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AF07" w14:textId="77777777" w:rsidR="009B0B3B" w:rsidRPr="001A501F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AC08" w14:textId="3BC17B88" w:rsidR="009B0B3B" w:rsidRPr="001A501F" w:rsidRDefault="0046539E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10355,02982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9EEC" w14:textId="77777777" w:rsidR="009B0B3B" w:rsidRPr="001A501F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B2C8" w14:textId="77777777" w:rsidR="009B0B3B" w:rsidRPr="001A501F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5D7A" w14:textId="77777777" w:rsidR="009B0B3B" w:rsidRPr="001A501F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DB59" w14:textId="55425191" w:rsidR="009B0B3B" w:rsidRPr="001A501F" w:rsidRDefault="0046539E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10355,02982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D0DA" w14:textId="77777777" w:rsidR="009B0B3B" w:rsidRPr="001A501F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5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2E36" w14:textId="3E602024" w:rsidR="009B0B3B" w:rsidRPr="001A501F" w:rsidRDefault="0046539E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  <w:r w:rsidR="009B0B3B" w:rsidRPr="001A5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9B0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9B0B3B" w:rsidRPr="001A5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A07C" w14:textId="77777777" w:rsidR="009B0B3B" w:rsidRPr="001A501F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0B3B" w:rsidRPr="000E16D2" w14:paraId="12D9694D" w14:textId="77777777" w:rsidTr="00361A91">
        <w:trPr>
          <w:cantSplit/>
          <w:trHeight w:val="74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0FB" w14:textId="77777777" w:rsidR="009B0B3B" w:rsidRPr="000E16D2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A5E7" w14:textId="77777777" w:rsidR="009B0B3B" w:rsidRPr="00B37C9E" w:rsidRDefault="009B0B3B" w:rsidP="009B0B3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C3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Мероприятие 4.1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C3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Обеспечение деятельности муниципальных</w:t>
            </w:r>
            <w:r w:rsidRPr="00B37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C3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44CA" w14:textId="77777777" w:rsidR="009B0B3B" w:rsidRPr="000E16D2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EA3A" w14:textId="77777777" w:rsidR="009B0B3B" w:rsidRPr="000E16D2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7BAE" w14:textId="614B8052" w:rsidR="009B0B3B" w:rsidRDefault="004B1136" w:rsidP="00465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46539E">
              <w:rPr>
                <w:rFonts w:ascii="Times New Roman" w:hAnsi="Times New Roman" w:cs="Times New Roman"/>
                <w:bCs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,1</w:t>
            </w:r>
            <w:r w:rsidR="0046539E">
              <w:rPr>
                <w:rFonts w:ascii="Times New Roman" w:hAnsi="Times New Roman" w:cs="Times New Roman"/>
                <w:bCs/>
                <w:sz w:val="20"/>
                <w:szCs w:val="20"/>
              </w:rPr>
              <w:t>7591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760F" w14:textId="77777777" w:rsidR="009B0B3B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11F7" w14:textId="77777777" w:rsidR="009B0B3B" w:rsidRPr="000E16D2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F583" w14:textId="77777777" w:rsidR="009B0B3B" w:rsidRPr="000E16D2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990E" w14:textId="5BC5F908" w:rsidR="009B0B3B" w:rsidRDefault="0046539E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10252,02982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684E" w14:textId="77777777" w:rsidR="009B0B3B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5759" w14:textId="77777777" w:rsidR="009B0B3B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B119" w14:textId="77777777" w:rsidR="009B0B3B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D5A9" w14:textId="5F458AC6" w:rsidR="009B0B3B" w:rsidRDefault="0046539E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10252,02982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9C79" w14:textId="77777777" w:rsidR="009B0B3B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8CE6" w14:textId="1C62DAC6" w:rsidR="009B0B3B" w:rsidRDefault="0046539E" w:rsidP="00465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4B1136">
              <w:rPr>
                <w:rFonts w:ascii="Times New Roman" w:hAnsi="Times New Roman" w:cs="Times New Roman"/>
                <w:bCs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9B0B3B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D36" w14:textId="77777777" w:rsidR="009B0B3B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0B3B" w:rsidRPr="000E16D2" w14:paraId="0425848D" w14:textId="77777777" w:rsidTr="00361A91">
        <w:trPr>
          <w:cantSplit/>
          <w:trHeight w:val="74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69CB" w14:textId="77777777" w:rsidR="009B0B3B" w:rsidRPr="000E16D2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5AC7" w14:textId="77777777" w:rsidR="009B0B3B" w:rsidRPr="00B37C9E" w:rsidRDefault="009B0B3B" w:rsidP="009B0B3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C3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Мероприятие 4.2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C3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Исполнение судебных актов, вступивших в законную силу по иск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 к муниципальным образованиям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4974" w14:textId="77777777" w:rsidR="009B0B3B" w:rsidRPr="000E16D2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B3B8" w14:textId="77777777" w:rsidR="009B0B3B" w:rsidRPr="000E16D2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65BF" w14:textId="4BD46EFB" w:rsidR="009B0B3B" w:rsidRDefault="009B0B3B" w:rsidP="00361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="00361A9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2A4C" w14:textId="77777777" w:rsidR="009B0B3B" w:rsidRPr="0022131D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1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A49D" w14:textId="77777777" w:rsidR="009B0B3B" w:rsidRPr="0022131D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1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F061" w14:textId="77777777" w:rsidR="009B0B3B" w:rsidRPr="0022131D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1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8ECF" w14:textId="16F4AC5F" w:rsidR="009B0B3B" w:rsidRPr="0022131D" w:rsidRDefault="001B1AA5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9B0B3B">
              <w:rPr>
                <w:rFonts w:ascii="Times New Roman" w:hAnsi="Times New Roman" w:cs="Times New Roman"/>
                <w:bCs/>
                <w:sz w:val="20"/>
                <w:szCs w:val="20"/>
              </w:rPr>
              <w:t>3,00000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5F4F" w14:textId="77777777" w:rsidR="009B0B3B" w:rsidRPr="0022131D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1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37CE" w14:textId="77777777" w:rsidR="009B0B3B" w:rsidRPr="0022131D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1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DF6F" w14:textId="77777777" w:rsidR="009B0B3B" w:rsidRPr="0022131D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1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7A11" w14:textId="0A6BB500" w:rsidR="009B0B3B" w:rsidRPr="0022131D" w:rsidRDefault="001B1AA5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103,00000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C8B9" w14:textId="77777777" w:rsidR="009B0B3B" w:rsidRPr="0022131D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1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466F" w14:textId="7619B5B6" w:rsidR="009B0B3B" w:rsidRDefault="0046539E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9B0B3B">
              <w:rPr>
                <w:rFonts w:ascii="Times New Roman" w:hAnsi="Times New Roman" w:cs="Times New Roman"/>
                <w:bCs/>
                <w:sz w:val="20"/>
                <w:szCs w:val="20"/>
              </w:rPr>
              <w:t>,1</w:t>
            </w:r>
            <w:r w:rsidR="009B0B3B" w:rsidRPr="0022131D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973" w14:textId="77777777" w:rsidR="009B0B3B" w:rsidRDefault="009B0B3B" w:rsidP="009B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E5ACB8C" w14:textId="77777777" w:rsidR="008E1C8D" w:rsidRPr="000E16D2" w:rsidRDefault="008E1C8D" w:rsidP="008E1C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  <w:sectPr w:rsidR="008E1C8D" w:rsidRPr="000E16D2" w:rsidSect="00D53430">
          <w:pgSz w:w="16838" w:h="11905" w:orient="landscape"/>
          <w:pgMar w:top="426" w:right="1134" w:bottom="142" w:left="1134" w:header="283" w:footer="0" w:gutter="0"/>
          <w:cols w:space="720"/>
          <w:noEndnote/>
          <w:docGrid w:linePitch="299"/>
        </w:sectPr>
      </w:pPr>
    </w:p>
    <w:p w14:paraId="6C3F87C8" w14:textId="77777777" w:rsidR="00BD32B6" w:rsidRDefault="00BD32B6" w:rsidP="002256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90043" w14:textId="77777777" w:rsidR="00225633" w:rsidRPr="009F1FAB" w:rsidRDefault="00225633" w:rsidP="002256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FAB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14:paraId="779BE6E0" w14:textId="39F81DEF" w:rsidR="00225633" w:rsidRPr="001D782A" w:rsidRDefault="00225633" w:rsidP="009F1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82A">
        <w:rPr>
          <w:rFonts w:ascii="Times New Roman" w:hAnsi="Times New Roman" w:cs="Times New Roman"/>
          <w:sz w:val="24"/>
          <w:szCs w:val="24"/>
        </w:rPr>
        <w:t>к отчету о результатах реализации муниципальной программы</w:t>
      </w:r>
      <w:r w:rsidR="00F52196" w:rsidRPr="001D782A">
        <w:rPr>
          <w:rFonts w:ascii="Times New Roman" w:hAnsi="Times New Roman" w:cs="Times New Roman"/>
          <w:sz w:val="24"/>
          <w:szCs w:val="24"/>
        </w:rPr>
        <w:t xml:space="preserve"> </w:t>
      </w:r>
      <w:r w:rsidR="009F1FAB" w:rsidRPr="009F1FAB">
        <w:rPr>
          <w:rFonts w:ascii="Times New Roman" w:hAnsi="Times New Roman" w:cs="Times New Roman"/>
          <w:sz w:val="24"/>
          <w:szCs w:val="24"/>
        </w:rPr>
        <w:t>«</w:t>
      </w:r>
      <w:r w:rsidR="009F1FAB" w:rsidRPr="009F1FAB">
        <w:rPr>
          <w:rFonts w:ascii="Times New Roman" w:hAnsi="Times New Roman"/>
          <w:sz w:val="24"/>
          <w:szCs w:val="24"/>
        </w:rPr>
        <w:t xml:space="preserve">Управление собственностью, земельными ресурсами и градостроительная деятельность </w:t>
      </w:r>
      <w:proofErr w:type="spellStart"/>
      <w:r w:rsidR="009F1FAB" w:rsidRPr="009F1FAB">
        <w:rPr>
          <w:rFonts w:ascii="Times New Roman" w:hAnsi="Times New Roman"/>
          <w:sz w:val="24"/>
          <w:szCs w:val="24"/>
        </w:rPr>
        <w:t>Пикалевского</w:t>
      </w:r>
      <w:proofErr w:type="spellEnd"/>
      <w:r w:rsidR="009F1FAB" w:rsidRPr="009F1FAB">
        <w:rPr>
          <w:rFonts w:ascii="Times New Roman" w:hAnsi="Times New Roman"/>
          <w:sz w:val="24"/>
          <w:szCs w:val="24"/>
        </w:rPr>
        <w:t xml:space="preserve"> городского поселения» на 202</w:t>
      </w:r>
      <w:r w:rsidR="00362D2C">
        <w:rPr>
          <w:rFonts w:ascii="Times New Roman" w:hAnsi="Times New Roman"/>
          <w:sz w:val="24"/>
          <w:szCs w:val="24"/>
        </w:rPr>
        <w:t>4</w:t>
      </w:r>
      <w:r w:rsidR="009F1FAB" w:rsidRPr="009F1FAB">
        <w:rPr>
          <w:rFonts w:ascii="Times New Roman" w:hAnsi="Times New Roman"/>
          <w:sz w:val="24"/>
          <w:szCs w:val="24"/>
        </w:rPr>
        <w:t>-202</w:t>
      </w:r>
      <w:r w:rsidR="00362D2C">
        <w:rPr>
          <w:rFonts w:ascii="Times New Roman" w:hAnsi="Times New Roman"/>
          <w:sz w:val="24"/>
          <w:szCs w:val="24"/>
        </w:rPr>
        <w:t>6</w:t>
      </w:r>
      <w:r w:rsidR="009F1FAB" w:rsidRPr="009F1FAB">
        <w:rPr>
          <w:rFonts w:ascii="Times New Roman" w:hAnsi="Times New Roman"/>
          <w:sz w:val="24"/>
          <w:szCs w:val="24"/>
        </w:rPr>
        <w:t xml:space="preserve"> годы</w:t>
      </w:r>
      <w:r w:rsidR="009F1FAB" w:rsidRPr="001D78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782A">
        <w:rPr>
          <w:rFonts w:ascii="Times New Roman" w:hAnsi="Times New Roman" w:cs="Times New Roman"/>
          <w:bCs/>
          <w:sz w:val="24"/>
          <w:szCs w:val="24"/>
        </w:rPr>
        <w:t>(далее - муниципальная программа) з</w:t>
      </w:r>
      <w:r w:rsidRPr="001D782A">
        <w:rPr>
          <w:rFonts w:ascii="Times New Roman" w:hAnsi="Times New Roman" w:cs="Times New Roman"/>
          <w:sz w:val="24"/>
          <w:szCs w:val="24"/>
        </w:rPr>
        <w:t xml:space="preserve">а </w:t>
      </w:r>
      <w:r w:rsidR="005019FE">
        <w:rPr>
          <w:rFonts w:ascii="Times New Roman" w:hAnsi="Times New Roman" w:cs="Times New Roman"/>
          <w:sz w:val="24"/>
          <w:szCs w:val="24"/>
        </w:rPr>
        <w:t>9 месяцев</w:t>
      </w:r>
      <w:r w:rsidR="009E42B6">
        <w:rPr>
          <w:rFonts w:ascii="Times New Roman" w:hAnsi="Times New Roman" w:cs="Times New Roman"/>
          <w:sz w:val="24"/>
          <w:szCs w:val="24"/>
        </w:rPr>
        <w:t xml:space="preserve"> </w:t>
      </w:r>
      <w:r w:rsidR="00565A7F" w:rsidRPr="001D782A">
        <w:rPr>
          <w:rFonts w:ascii="Times New Roman" w:hAnsi="Times New Roman" w:cs="Times New Roman"/>
          <w:sz w:val="24"/>
          <w:szCs w:val="24"/>
        </w:rPr>
        <w:t>20</w:t>
      </w:r>
      <w:r w:rsidR="00EB27DB" w:rsidRPr="001D782A">
        <w:rPr>
          <w:rFonts w:ascii="Times New Roman" w:hAnsi="Times New Roman" w:cs="Times New Roman"/>
          <w:sz w:val="24"/>
          <w:szCs w:val="24"/>
        </w:rPr>
        <w:t>2</w:t>
      </w:r>
      <w:r w:rsidR="00362D2C">
        <w:rPr>
          <w:rFonts w:ascii="Times New Roman" w:hAnsi="Times New Roman" w:cs="Times New Roman"/>
          <w:sz w:val="24"/>
          <w:szCs w:val="24"/>
        </w:rPr>
        <w:t>4</w:t>
      </w:r>
      <w:r w:rsidRPr="001D782A">
        <w:rPr>
          <w:rFonts w:ascii="Times New Roman" w:hAnsi="Times New Roman" w:cs="Times New Roman"/>
          <w:sz w:val="24"/>
          <w:szCs w:val="24"/>
        </w:rPr>
        <w:t xml:space="preserve"> год</w:t>
      </w:r>
      <w:r w:rsidR="00565A7F" w:rsidRPr="001D782A">
        <w:rPr>
          <w:rFonts w:ascii="Times New Roman" w:hAnsi="Times New Roman" w:cs="Times New Roman"/>
          <w:sz w:val="24"/>
          <w:szCs w:val="24"/>
        </w:rPr>
        <w:t>а</w:t>
      </w:r>
      <w:r w:rsidR="009F1FAB">
        <w:rPr>
          <w:rFonts w:ascii="Times New Roman" w:hAnsi="Times New Roman" w:cs="Times New Roman"/>
          <w:sz w:val="24"/>
          <w:szCs w:val="24"/>
        </w:rPr>
        <w:t>.</w:t>
      </w:r>
    </w:p>
    <w:p w14:paraId="32F505BA" w14:textId="2D96D211" w:rsidR="009F1FAB" w:rsidRPr="00996E9C" w:rsidRDefault="00225633" w:rsidP="009F1FA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82A">
        <w:rPr>
          <w:rFonts w:ascii="Times New Roman" w:hAnsi="Times New Roman" w:cs="Times New Roman"/>
          <w:sz w:val="24"/>
          <w:szCs w:val="24"/>
        </w:rPr>
        <w:tab/>
      </w:r>
      <w:r w:rsidR="009F1FAB" w:rsidRPr="00996E9C">
        <w:rPr>
          <w:rFonts w:ascii="Times New Roman" w:hAnsi="Times New Roman" w:cs="Times New Roman"/>
          <w:sz w:val="24"/>
          <w:szCs w:val="24"/>
        </w:rPr>
        <w:t>В 202</w:t>
      </w:r>
      <w:r w:rsidR="00362D2C">
        <w:rPr>
          <w:rFonts w:ascii="Times New Roman" w:hAnsi="Times New Roman" w:cs="Times New Roman"/>
          <w:sz w:val="24"/>
          <w:szCs w:val="24"/>
        </w:rPr>
        <w:t>4</w:t>
      </w:r>
      <w:r w:rsidR="009F1FAB" w:rsidRPr="00996E9C">
        <w:rPr>
          <w:rFonts w:ascii="Times New Roman" w:hAnsi="Times New Roman" w:cs="Times New Roman"/>
          <w:sz w:val="24"/>
          <w:szCs w:val="24"/>
        </w:rPr>
        <w:t xml:space="preserve"> году п</w:t>
      </w:r>
      <w:r w:rsidRPr="00996E9C">
        <w:rPr>
          <w:rFonts w:ascii="Times New Roman" w:hAnsi="Times New Roman" w:cs="Times New Roman"/>
          <w:sz w:val="24"/>
          <w:szCs w:val="24"/>
        </w:rPr>
        <w:t>рограмма осуществляетс</w:t>
      </w:r>
      <w:r w:rsidR="00C00008" w:rsidRPr="00996E9C">
        <w:rPr>
          <w:rFonts w:ascii="Times New Roman" w:hAnsi="Times New Roman" w:cs="Times New Roman"/>
          <w:sz w:val="24"/>
          <w:szCs w:val="24"/>
        </w:rPr>
        <w:t>я путем</w:t>
      </w:r>
      <w:r w:rsidR="00BF4021">
        <w:rPr>
          <w:rFonts w:ascii="Times New Roman" w:hAnsi="Times New Roman" w:cs="Times New Roman"/>
          <w:sz w:val="24"/>
          <w:szCs w:val="24"/>
        </w:rPr>
        <w:t xml:space="preserve"> участия в</w:t>
      </w:r>
      <w:r w:rsidR="00C00008" w:rsidRPr="00996E9C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9E42B6">
        <w:rPr>
          <w:rFonts w:ascii="Times New Roman" w:hAnsi="Times New Roman" w:cs="Times New Roman"/>
          <w:sz w:val="24"/>
          <w:szCs w:val="24"/>
        </w:rPr>
        <w:t xml:space="preserve">регионального проекта </w:t>
      </w:r>
      <w:r w:rsidR="009E42B6" w:rsidRPr="009E42B6">
        <w:rPr>
          <w:rFonts w:ascii="Times New Roman" w:hAnsi="Times New Roman" w:cs="Times New Roman"/>
          <w:sz w:val="24"/>
          <w:szCs w:val="24"/>
        </w:rPr>
        <w:t>«</w:t>
      </w:r>
      <w:r w:rsidR="009E42B6" w:rsidRPr="009E42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устойчивого сокращения непригодного для проживания жилищного фонда»</w:t>
      </w:r>
      <w:r w:rsidR="009E42B6">
        <w:rPr>
          <w:rFonts w:ascii="Times New Roman" w:hAnsi="Times New Roman" w:cs="Times New Roman"/>
          <w:sz w:val="24"/>
          <w:szCs w:val="24"/>
        </w:rPr>
        <w:t xml:space="preserve"> и </w:t>
      </w:r>
      <w:r w:rsidR="009E42B6" w:rsidRPr="00996E9C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F1FAB" w:rsidRPr="00996E9C">
        <w:rPr>
          <w:rFonts w:ascii="Times New Roman" w:hAnsi="Times New Roman" w:cs="Times New Roman"/>
          <w:sz w:val="24"/>
          <w:szCs w:val="24"/>
        </w:rPr>
        <w:t>Комплексов процессных мероприятий</w:t>
      </w:r>
      <w:r w:rsidRPr="00996E9C">
        <w:rPr>
          <w:rFonts w:ascii="Times New Roman" w:hAnsi="Times New Roman" w:cs="Times New Roman"/>
          <w:sz w:val="24"/>
          <w:szCs w:val="24"/>
        </w:rPr>
        <w:t>:</w:t>
      </w:r>
      <w:r w:rsidR="009F1FAB" w:rsidRPr="00996E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98F34" w14:textId="77777777" w:rsidR="009F1FAB" w:rsidRPr="00996E9C" w:rsidRDefault="009F1FAB" w:rsidP="009F1FAB">
      <w:pPr>
        <w:pStyle w:val="a6"/>
        <w:numPr>
          <w:ilvl w:val="0"/>
          <w:numId w:val="5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E9C">
        <w:rPr>
          <w:rFonts w:ascii="Times New Roman" w:hAnsi="Times New Roman" w:cs="Times New Roman"/>
          <w:sz w:val="24"/>
          <w:szCs w:val="24"/>
        </w:rPr>
        <w:t xml:space="preserve">«Управление муниципальной собственностью» </w:t>
      </w:r>
    </w:p>
    <w:p w14:paraId="2727A78B" w14:textId="77777777" w:rsidR="00B0003B" w:rsidRPr="00996E9C" w:rsidRDefault="009F1FAB" w:rsidP="009F1FAB">
      <w:pPr>
        <w:pStyle w:val="a6"/>
        <w:numPr>
          <w:ilvl w:val="0"/>
          <w:numId w:val="5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E9C">
        <w:rPr>
          <w:rFonts w:ascii="Times New Roman" w:hAnsi="Times New Roman" w:cs="Times New Roman"/>
          <w:sz w:val="24"/>
          <w:szCs w:val="24"/>
        </w:rPr>
        <w:t>«Строительство, архитектура и градостроительная деятельность»</w:t>
      </w:r>
    </w:p>
    <w:p w14:paraId="37533778" w14:textId="77777777" w:rsidR="00996E9C" w:rsidRPr="00996E9C" w:rsidRDefault="00996E9C" w:rsidP="009F1FAB">
      <w:pPr>
        <w:pStyle w:val="a6"/>
        <w:numPr>
          <w:ilvl w:val="0"/>
          <w:numId w:val="5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E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BC38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устойчивого сокращения непригодного для проживания жилищного фонда</w:t>
      </w:r>
      <w:r w:rsidR="00FA1F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Pr="00BC38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0E83C45F" w14:textId="77777777" w:rsidR="00996E9C" w:rsidRPr="00996E9C" w:rsidRDefault="00996E9C" w:rsidP="009F1FAB">
      <w:pPr>
        <w:pStyle w:val="a6"/>
        <w:numPr>
          <w:ilvl w:val="0"/>
          <w:numId w:val="5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8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96E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BC38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Административно-хозяйственное обеспечение деятельности органов</w:t>
      </w:r>
      <w:r w:rsidR="009E42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BC38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местного самоуправления и подведомственных учреждений </w:t>
      </w:r>
      <w:proofErr w:type="spellStart"/>
      <w:r w:rsidRPr="00BC38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</w:t>
      </w:r>
      <w:r w:rsidRPr="00996E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калевского</w:t>
      </w:r>
      <w:proofErr w:type="spellEnd"/>
      <w:r w:rsidRPr="00996E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городского поселения»</w:t>
      </w:r>
    </w:p>
    <w:p w14:paraId="701138D1" w14:textId="4539AB3B" w:rsidR="007A7C5B" w:rsidRDefault="00225633" w:rsidP="00BF40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782A">
        <w:rPr>
          <w:rFonts w:ascii="Times New Roman" w:hAnsi="Times New Roman" w:cs="Times New Roman"/>
          <w:sz w:val="24"/>
          <w:szCs w:val="24"/>
        </w:rPr>
        <w:t>Всего по программе в 20</w:t>
      </w:r>
      <w:r w:rsidR="007D7670" w:rsidRPr="001D782A">
        <w:rPr>
          <w:rFonts w:ascii="Times New Roman" w:hAnsi="Times New Roman" w:cs="Times New Roman"/>
          <w:sz w:val="24"/>
          <w:szCs w:val="24"/>
        </w:rPr>
        <w:t>2</w:t>
      </w:r>
      <w:r w:rsidR="00AF1CAA">
        <w:rPr>
          <w:rFonts w:ascii="Times New Roman" w:hAnsi="Times New Roman" w:cs="Times New Roman"/>
          <w:sz w:val="24"/>
          <w:szCs w:val="24"/>
        </w:rPr>
        <w:t>4</w:t>
      </w:r>
      <w:r w:rsidRPr="001D782A">
        <w:rPr>
          <w:rFonts w:ascii="Times New Roman" w:hAnsi="Times New Roman" w:cs="Times New Roman"/>
          <w:sz w:val="24"/>
          <w:szCs w:val="24"/>
        </w:rPr>
        <w:t xml:space="preserve"> году запланировано </w:t>
      </w:r>
      <w:r w:rsidR="005019FE">
        <w:rPr>
          <w:rFonts w:ascii="Times New Roman" w:hAnsi="Times New Roman" w:cs="Times New Roman"/>
          <w:b/>
          <w:bCs/>
          <w:sz w:val="24"/>
          <w:szCs w:val="24"/>
        </w:rPr>
        <w:t>163 412,37422</w:t>
      </w:r>
      <w:r w:rsidR="002D7CB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D782A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1D782A">
        <w:rPr>
          <w:rFonts w:ascii="Times New Roman" w:hAnsi="Times New Roman" w:cs="Times New Roman"/>
          <w:sz w:val="24"/>
          <w:szCs w:val="24"/>
        </w:rPr>
        <w:t xml:space="preserve">., </w:t>
      </w:r>
      <w:r w:rsidR="001E0B66" w:rsidRPr="001D782A">
        <w:rPr>
          <w:rFonts w:ascii="Times New Roman" w:hAnsi="Times New Roman" w:cs="Times New Roman"/>
          <w:sz w:val="24"/>
          <w:szCs w:val="24"/>
        </w:rPr>
        <w:t xml:space="preserve">по </w:t>
      </w:r>
      <w:r w:rsidR="006B1E8F">
        <w:rPr>
          <w:rFonts w:ascii="Times New Roman" w:hAnsi="Times New Roman" w:cs="Times New Roman"/>
          <w:sz w:val="24"/>
          <w:szCs w:val="24"/>
        </w:rPr>
        <w:t>состоянию на 01.10</w:t>
      </w:r>
      <w:r w:rsidR="001E0B66" w:rsidRPr="001D782A">
        <w:rPr>
          <w:rFonts w:ascii="Times New Roman" w:hAnsi="Times New Roman" w:cs="Times New Roman"/>
          <w:sz w:val="24"/>
          <w:szCs w:val="24"/>
        </w:rPr>
        <w:t>.202</w:t>
      </w:r>
      <w:r w:rsidR="00AF1CAA">
        <w:rPr>
          <w:rFonts w:ascii="Times New Roman" w:hAnsi="Times New Roman" w:cs="Times New Roman"/>
          <w:sz w:val="24"/>
          <w:szCs w:val="24"/>
        </w:rPr>
        <w:t>4</w:t>
      </w:r>
      <w:r w:rsidR="001E0B66">
        <w:rPr>
          <w:rFonts w:ascii="Times New Roman" w:hAnsi="Times New Roman" w:cs="Times New Roman"/>
          <w:sz w:val="24"/>
          <w:szCs w:val="24"/>
        </w:rPr>
        <w:t xml:space="preserve"> выполнено мероприятий на </w:t>
      </w:r>
      <w:r w:rsidR="006B1E8F">
        <w:rPr>
          <w:rFonts w:ascii="Times New Roman" w:hAnsi="Times New Roman" w:cs="Times New Roman"/>
          <w:b/>
          <w:bCs/>
          <w:sz w:val="24"/>
          <w:szCs w:val="24"/>
        </w:rPr>
        <w:t>40 921,10156</w:t>
      </w:r>
      <w:r w:rsidR="001E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B6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1E0B66">
        <w:rPr>
          <w:rFonts w:ascii="Times New Roman" w:hAnsi="Times New Roman" w:cs="Times New Roman"/>
          <w:sz w:val="24"/>
          <w:szCs w:val="24"/>
        </w:rPr>
        <w:t>. (</w:t>
      </w:r>
      <w:r w:rsidR="006B1E8F">
        <w:rPr>
          <w:rFonts w:ascii="Times New Roman" w:hAnsi="Times New Roman" w:cs="Times New Roman"/>
          <w:sz w:val="24"/>
          <w:szCs w:val="24"/>
        </w:rPr>
        <w:t>25</w:t>
      </w:r>
      <w:r w:rsidR="007A7C5B">
        <w:rPr>
          <w:rFonts w:ascii="Times New Roman" w:hAnsi="Times New Roman" w:cs="Times New Roman"/>
          <w:sz w:val="24"/>
          <w:szCs w:val="24"/>
        </w:rPr>
        <w:t>,</w:t>
      </w:r>
      <w:r w:rsidR="006B1E8F">
        <w:rPr>
          <w:rFonts w:ascii="Times New Roman" w:hAnsi="Times New Roman" w:cs="Times New Roman"/>
          <w:sz w:val="24"/>
          <w:szCs w:val="24"/>
        </w:rPr>
        <w:t>0</w:t>
      </w:r>
      <w:r w:rsidR="007A7C5B">
        <w:rPr>
          <w:rFonts w:ascii="Times New Roman" w:hAnsi="Times New Roman" w:cs="Times New Roman"/>
          <w:sz w:val="24"/>
          <w:szCs w:val="24"/>
        </w:rPr>
        <w:t xml:space="preserve">%). Низкий процент исполнения объясняется тем, что </w:t>
      </w:r>
      <w:r w:rsidR="006B1E8F">
        <w:rPr>
          <w:rFonts w:ascii="Times New Roman" w:hAnsi="Times New Roman" w:cs="Times New Roman"/>
          <w:sz w:val="24"/>
          <w:szCs w:val="24"/>
        </w:rPr>
        <w:t>сроки исполнения ряда контрактов – 4 квартал 2024 года (к</w:t>
      </w:r>
      <w:r w:rsidR="007A7C5B">
        <w:rPr>
          <w:rFonts w:ascii="Times New Roman" w:hAnsi="Times New Roman" w:cs="Times New Roman"/>
          <w:sz w:val="24"/>
          <w:szCs w:val="24"/>
        </w:rPr>
        <w:t>адастровые, землеустроительные работы</w:t>
      </w:r>
      <w:r w:rsidR="00826339">
        <w:rPr>
          <w:rFonts w:ascii="Times New Roman" w:hAnsi="Times New Roman" w:cs="Times New Roman"/>
          <w:sz w:val="24"/>
          <w:szCs w:val="24"/>
        </w:rPr>
        <w:t xml:space="preserve">, </w:t>
      </w:r>
      <w:r w:rsidR="00783A58">
        <w:rPr>
          <w:rFonts w:ascii="Times New Roman" w:hAnsi="Times New Roman" w:cs="Times New Roman"/>
          <w:sz w:val="24"/>
          <w:szCs w:val="24"/>
        </w:rPr>
        <w:t>техническое обследование автомобильных дорог</w:t>
      </w:r>
      <w:r w:rsidR="006B1E8F">
        <w:rPr>
          <w:rFonts w:ascii="Times New Roman" w:hAnsi="Times New Roman" w:cs="Times New Roman"/>
          <w:sz w:val="24"/>
          <w:szCs w:val="24"/>
        </w:rPr>
        <w:t>)</w:t>
      </w:r>
      <w:r w:rsidR="00783A58">
        <w:rPr>
          <w:rFonts w:ascii="Times New Roman" w:hAnsi="Times New Roman" w:cs="Times New Roman"/>
          <w:sz w:val="24"/>
          <w:szCs w:val="24"/>
        </w:rPr>
        <w:t>.</w:t>
      </w:r>
      <w:r w:rsidR="00BF4021">
        <w:rPr>
          <w:rFonts w:ascii="Times New Roman" w:hAnsi="Times New Roman" w:cs="Times New Roman"/>
          <w:sz w:val="24"/>
          <w:szCs w:val="24"/>
        </w:rPr>
        <w:t xml:space="preserve"> </w:t>
      </w:r>
      <w:r w:rsidR="006B1E8F">
        <w:rPr>
          <w:rFonts w:ascii="Times New Roman" w:hAnsi="Times New Roman" w:cs="Times New Roman"/>
          <w:sz w:val="24"/>
          <w:szCs w:val="24"/>
        </w:rPr>
        <w:t>В 3 квартале</w:t>
      </w:r>
      <w:r w:rsidR="00D6182B">
        <w:rPr>
          <w:rFonts w:ascii="Times New Roman" w:hAnsi="Times New Roman" w:cs="Times New Roman"/>
          <w:sz w:val="24"/>
          <w:szCs w:val="24"/>
        </w:rPr>
        <w:t xml:space="preserve"> </w:t>
      </w:r>
      <w:r w:rsidR="00326B1A"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D6182B">
        <w:rPr>
          <w:rFonts w:ascii="Times New Roman" w:hAnsi="Times New Roman" w:cs="Times New Roman"/>
          <w:sz w:val="24"/>
          <w:szCs w:val="24"/>
        </w:rPr>
        <w:t xml:space="preserve">поступили средства бюджета </w:t>
      </w:r>
      <w:proofErr w:type="spellStart"/>
      <w:r w:rsidR="00D6182B">
        <w:rPr>
          <w:rFonts w:ascii="Times New Roman" w:hAnsi="Times New Roman" w:cs="Times New Roman"/>
          <w:sz w:val="24"/>
          <w:szCs w:val="24"/>
        </w:rPr>
        <w:t>Бокситогоского</w:t>
      </w:r>
      <w:proofErr w:type="spellEnd"/>
      <w:r w:rsidR="00D6182B">
        <w:rPr>
          <w:rFonts w:ascii="Times New Roman" w:hAnsi="Times New Roman" w:cs="Times New Roman"/>
          <w:sz w:val="24"/>
          <w:szCs w:val="24"/>
        </w:rPr>
        <w:t xml:space="preserve"> муниципального района на содержание здания автостанции </w:t>
      </w:r>
      <w:r w:rsidR="00326B1A">
        <w:rPr>
          <w:rFonts w:ascii="Times New Roman" w:hAnsi="Times New Roman" w:cs="Times New Roman"/>
          <w:sz w:val="24"/>
          <w:szCs w:val="24"/>
        </w:rPr>
        <w:t xml:space="preserve">в 4 квартале 2024 года </w:t>
      </w:r>
      <w:r w:rsidR="00D6182B">
        <w:rPr>
          <w:rFonts w:ascii="Times New Roman" w:hAnsi="Times New Roman" w:cs="Times New Roman"/>
          <w:sz w:val="24"/>
          <w:szCs w:val="24"/>
        </w:rPr>
        <w:t xml:space="preserve">(50%). </w:t>
      </w:r>
      <w:r w:rsidR="00326B1A">
        <w:rPr>
          <w:rFonts w:ascii="Times New Roman" w:hAnsi="Times New Roman" w:cs="Times New Roman"/>
          <w:sz w:val="24"/>
          <w:szCs w:val="24"/>
        </w:rPr>
        <w:t>В</w:t>
      </w:r>
      <w:r w:rsidR="00BF4021">
        <w:rPr>
          <w:rFonts w:ascii="Times New Roman" w:hAnsi="Times New Roman" w:cs="Times New Roman"/>
          <w:sz w:val="24"/>
          <w:szCs w:val="24"/>
        </w:rPr>
        <w:t xml:space="preserve"> мае 2024</w:t>
      </w:r>
      <w:r w:rsidR="009C1CA9">
        <w:rPr>
          <w:rFonts w:ascii="Times New Roman" w:hAnsi="Times New Roman" w:cs="Times New Roman"/>
          <w:sz w:val="24"/>
          <w:szCs w:val="24"/>
        </w:rPr>
        <w:t xml:space="preserve"> поступили средства областного бюджета на переселение граждан из аварийного жилья, </w:t>
      </w:r>
      <w:r w:rsidR="007E64BB">
        <w:rPr>
          <w:rFonts w:ascii="Times New Roman" w:hAnsi="Times New Roman" w:cs="Times New Roman"/>
          <w:sz w:val="24"/>
          <w:szCs w:val="24"/>
        </w:rPr>
        <w:t>в</w:t>
      </w:r>
      <w:r w:rsidR="005B25C5">
        <w:rPr>
          <w:rFonts w:ascii="Times New Roman" w:hAnsi="Times New Roman" w:cs="Times New Roman"/>
          <w:sz w:val="24"/>
          <w:szCs w:val="24"/>
        </w:rPr>
        <w:t xml:space="preserve"> настоящий момент проводятся электронные процедуры (а</w:t>
      </w:r>
      <w:r w:rsidR="009C1CA9">
        <w:rPr>
          <w:rFonts w:ascii="Times New Roman" w:hAnsi="Times New Roman" w:cs="Times New Roman"/>
          <w:sz w:val="24"/>
          <w:szCs w:val="24"/>
        </w:rPr>
        <w:t>укционы</w:t>
      </w:r>
      <w:r w:rsidR="005B25C5">
        <w:rPr>
          <w:rFonts w:ascii="Times New Roman" w:hAnsi="Times New Roman" w:cs="Times New Roman"/>
          <w:sz w:val="24"/>
          <w:szCs w:val="24"/>
        </w:rPr>
        <w:t>)</w:t>
      </w:r>
      <w:r w:rsidR="009C1CA9">
        <w:rPr>
          <w:rFonts w:ascii="Times New Roman" w:hAnsi="Times New Roman" w:cs="Times New Roman"/>
          <w:sz w:val="24"/>
          <w:szCs w:val="24"/>
        </w:rPr>
        <w:t xml:space="preserve"> на </w:t>
      </w:r>
      <w:r w:rsidR="005B25C5">
        <w:rPr>
          <w:rFonts w:ascii="Times New Roman" w:hAnsi="Times New Roman" w:cs="Times New Roman"/>
          <w:sz w:val="24"/>
          <w:szCs w:val="24"/>
        </w:rPr>
        <w:t>закупку</w:t>
      </w:r>
      <w:r w:rsidR="009C1CA9">
        <w:rPr>
          <w:rFonts w:ascii="Times New Roman" w:hAnsi="Times New Roman" w:cs="Times New Roman"/>
          <w:sz w:val="24"/>
          <w:szCs w:val="24"/>
        </w:rPr>
        <w:t xml:space="preserve"> жилых помещений </w:t>
      </w:r>
      <w:r w:rsidR="00BF4021">
        <w:rPr>
          <w:rFonts w:ascii="Times New Roman" w:hAnsi="Times New Roman" w:cs="Times New Roman"/>
          <w:sz w:val="24"/>
          <w:szCs w:val="24"/>
        </w:rPr>
        <w:t>для переселения</w:t>
      </w:r>
      <w:r w:rsidR="007A7C5B">
        <w:rPr>
          <w:rFonts w:ascii="Times New Roman" w:hAnsi="Times New Roman" w:cs="Times New Roman"/>
          <w:sz w:val="24"/>
          <w:szCs w:val="24"/>
        </w:rPr>
        <w:t>.</w:t>
      </w:r>
      <w:r w:rsidR="00326B1A">
        <w:rPr>
          <w:rFonts w:ascii="Times New Roman" w:hAnsi="Times New Roman" w:cs="Times New Roman"/>
          <w:sz w:val="24"/>
          <w:szCs w:val="24"/>
        </w:rPr>
        <w:t xml:space="preserve"> Средства на реализацию программы переселения предусмотрены из расчета 137 000 руб. за 1 </w:t>
      </w:r>
      <w:proofErr w:type="spellStart"/>
      <w:r w:rsidR="00326B1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26B1A">
        <w:rPr>
          <w:rFonts w:ascii="Times New Roman" w:hAnsi="Times New Roman" w:cs="Times New Roman"/>
          <w:sz w:val="24"/>
          <w:szCs w:val="24"/>
        </w:rPr>
        <w:t xml:space="preserve">., рыночная стоимость квартир в </w:t>
      </w:r>
      <w:proofErr w:type="spellStart"/>
      <w:r w:rsidR="00326B1A">
        <w:rPr>
          <w:rFonts w:ascii="Times New Roman" w:hAnsi="Times New Roman" w:cs="Times New Roman"/>
          <w:sz w:val="24"/>
          <w:szCs w:val="24"/>
        </w:rPr>
        <w:t>г.Пикалево</w:t>
      </w:r>
      <w:proofErr w:type="spellEnd"/>
      <w:r w:rsidR="00326B1A">
        <w:rPr>
          <w:rFonts w:ascii="Times New Roman" w:hAnsi="Times New Roman" w:cs="Times New Roman"/>
          <w:sz w:val="24"/>
          <w:szCs w:val="24"/>
        </w:rPr>
        <w:t xml:space="preserve"> 79 210 руб. за 1 </w:t>
      </w:r>
      <w:proofErr w:type="spellStart"/>
      <w:r w:rsidR="00326B1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26B1A">
        <w:rPr>
          <w:rFonts w:ascii="Times New Roman" w:hAnsi="Times New Roman" w:cs="Times New Roman"/>
          <w:sz w:val="24"/>
          <w:szCs w:val="24"/>
        </w:rPr>
        <w:t>. По завершении мероприятий по переселению будет существенная экономия средств.</w:t>
      </w:r>
    </w:p>
    <w:p w14:paraId="5FBD8EA1" w14:textId="6584727F" w:rsidR="00326A19" w:rsidRDefault="007A7C5B" w:rsidP="002D7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26A19" w:rsidRPr="001D782A">
        <w:rPr>
          <w:rFonts w:ascii="Times New Roman" w:hAnsi="Times New Roman" w:cs="Times New Roman"/>
          <w:sz w:val="24"/>
          <w:szCs w:val="24"/>
        </w:rPr>
        <w:t xml:space="preserve">ведения об исполнении Программы по </w:t>
      </w:r>
      <w:r w:rsidR="002A76AE">
        <w:rPr>
          <w:rFonts w:ascii="Times New Roman" w:hAnsi="Times New Roman" w:cs="Times New Roman"/>
          <w:sz w:val="24"/>
          <w:szCs w:val="24"/>
        </w:rPr>
        <w:t>состоянию на 01.</w:t>
      </w:r>
      <w:r w:rsidR="006B1E8F">
        <w:rPr>
          <w:rFonts w:ascii="Times New Roman" w:hAnsi="Times New Roman" w:cs="Times New Roman"/>
          <w:sz w:val="24"/>
          <w:szCs w:val="24"/>
        </w:rPr>
        <w:t>10</w:t>
      </w:r>
      <w:r w:rsidR="00326A19" w:rsidRPr="001D782A">
        <w:rPr>
          <w:rFonts w:ascii="Times New Roman" w:hAnsi="Times New Roman" w:cs="Times New Roman"/>
          <w:sz w:val="24"/>
          <w:szCs w:val="24"/>
        </w:rPr>
        <w:t>.20</w:t>
      </w:r>
      <w:r w:rsidR="007D7670" w:rsidRPr="001D782A">
        <w:rPr>
          <w:rFonts w:ascii="Times New Roman" w:hAnsi="Times New Roman" w:cs="Times New Roman"/>
          <w:sz w:val="24"/>
          <w:szCs w:val="24"/>
        </w:rPr>
        <w:t>2</w:t>
      </w:r>
      <w:r w:rsidR="00826339">
        <w:rPr>
          <w:rFonts w:ascii="Times New Roman" w:hAnsi="Times New Roman" w:cs="Times New Roman"/>
          <w:sz w:val="24"/>
          <w:szCs w:val="24"/>
        </w:rPr>
        <w:t>4</w:t>
      </w:r>
      <w:r w:rsidR="00326A19" w:rsidRPr="001D782A">
        <w:rPr>
          <w:rFonts w:ascii="Times New Roman" w:hAnsi="Times New Roman" w:cs="Times New Roman"/>
          <w:sz w:val="24"/>
          <w:szCs w:val="24"/>
        </w:rPr>
        <w:t>:</w:t>
      </w:r>
    </w:p>
    <w:p w14:paraId="2C018FA2" w14:textId="77777777" w:rsidR="00E9425E" w:rsidRDefault="00B63D64" w:rsidP="00E942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64">
        <w:rPr>
          <w:rFonts w:ascii="Times New Roman" w:hAnsi="Times New Roman" w:cs="Times New Roman"/>
          <w:b/>
          <w:sz w:val="24"/>
          <w:szCs w:val="24"/>
        </w:rPr>
        <w:t>Региональный проект «</w:t>
      </w:r>
      <w:r w:rsidRPr="00B63D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Обеспечение устойчивого сокращения непригодного для проживания жилищного фонда»</w:t>
      </w:r>
      <w:r w:rsidR="00783A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783A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Pr="00312D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одписано соглашение с Комитетом по строительству на </w:t>
      </w:r>
      <w:proofErr w:type="spellStart"/>
      <w:r w:rsidRPr="00312D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софинансирование</w:t>
      </w:r>
      <w:proofErr w:type="spellEnd"/>
      <w:r w:rsidR="00783A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мероприятий по</w:t>
      </w:r>
      <w:r w:rsidR="00312D21" w:rsidRPr="00312D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переселени</w:t>
      </w:r>
      <w:r w:rsidR="00783A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</w:t>
      </w:r>
      <w:r w:rsidR="00312D21" w:rsidRPr="00312D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граждан из аварийного жилья</w:t>
      </w:r>
      <w:r w:rsidR="00783A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312D21" w:rsidRPr="00312D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83A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="00312D21" w:rsidRPr="00312D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ыделены </w:t>
      </w:r>
      <w:r w:rsidRPr="00312D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средства областного бюджета в размере 12</w:t>
      </w:r>
      <w:r w:rsidR="00312D21" w:rsidRPr="00312D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3 519,76315 </w:t>
      </w:r>
      <w:proofErr w:type="spellStart"/>
      <w:r w:rsidR="00312D21" w:rsidRPr="00312D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тыс.руб</w:t>
      </w:r>
      <w:proofErr w:type="spellEnd"/>
      <w:r w:rsidR="00312D21" w:rsidRPr="00312D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2B01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средства местного бюджета </w:t>
      </w:r>
      <w:r w:rsidR="002B014A" w:rsidRPr="002B014A">
        <w:rPr>
          <w:rFonts w:ascii="Times New Roman" w:hAnsi="Times New Roman" w:cs="Times New Roman"/>
          <w:bCs/>
          <w:sz w:val="24"/>
          <w:szCs w:val="24"/>
        </w:rPr>
        <w:t>1</w:t>
      </w:r>
      <w:r w:rsidR="002B01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014A" w:rsidRPr="002B014A">
        <w:rPr>
          <w:rFonts w:ascii="Times New Roman" w:hAnsi="Times New Roman" w:cs="Times New Roman"/>
          <w:bCs/>
          <w:sz w:val="24"/>
          <w:szCs w:val="24"/>
        </w:rPr>
        <w:t xml:space="preserve">247,67438 </w:t>
      </w:r>
      <w:proofErr w:type="spellStart"/>
      <w:r w:rsidR="002B014A" w:rsidRPr="002B014A">
        <w:rPr>
          <w:rFonts w:ascii="Times New Roman" w:hAnsi="Times New Roman" w:cs="Times New Roman"/>
          <w:bCs/>
          <w:sz w:val="24"/>
          <w:szCs w:val="24"/>
        </w:rPr>
        <w:t>тыс.руб</w:t>
      </w:r>
      <w:proofErr w:type="spellEnd"/>
      <w:r w:rsidR="002B014A" w:rsidRPr="002B014A">
        <w:rPr>
          <w:rFonts w:ascii="Times New Roman" w:hAnsi="Times New Roman" w:cs="Times New Roman"/>
          <w:bCs/>
          <w:sz w:val="24"/>
          <w:szCs w:val="24"/>
        </w:rPr>
        <w:t>.</w:t>
      </w:r>
      <w:r w:rsidR="002B01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12D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 </w:t>
      </w:r>
      <w:r w:rsidR="00FC70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отчетный </w:t>
      </w:r>
      <w:r w:rsidR="00312D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период </w:t>
      </w:r>
      <w:r w:rsidR="00FC70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 </w:t>
      </w:r>
      <w:r w:rsidR="00D17C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FC70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17C5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жилых помещений</w:t>
      </w:r>
      <w:r w:rsidR="00FC70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12D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 гражданами подписаны соглашения </w:t>
      </w:r>
      <w:r w:rsidR="00312D21" w:rsidRPr="00312D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</w:t>
      </w:r>
      <w:r w:rsidR="00312D21" w:rsidRPr="0031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выкупной стоимости за изымаемую недвижимость для муниципальных нужд, </w:t>
      </w:r>
      <w:r w:rsidR="002B014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получили</w:t>
      </w:r>
      <w:r w:rsidR="00312D21" w:rsidRPr="0031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выплаты на основании отчетов о рыночной стоимости изымаемой недвижимости.</w:t>
      </w:r>
      <w:r w:rsidR="0069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</w:t>
      </w:r>
      <w:r w:rsidR="002B0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выплаты гражданам использовано 4 486,4 </w:t>
      </w:r>
      <w:proofErr w:type="spellStart"/>
      <w:r w:rsidR="002B014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2B01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(средства за 2 помещения 1655,190 </w:t>
      </w:r>
      <w:proofErr w:type="spellStart"/>
      <w:r w:rsidR="00D17C5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D1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перечислены в октябре). </w:t>
      </w:r>
    </w:p>
    <w:p w14:paraId="06159520" w14:textId="3A7187DE" w:rsidR="00B63D64" w:rsidRPr="00312D21" w:rsidRDefault="00E9425E" w:rsidP="00312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квартир для </w:t>
      </w:r>
      <w:r w:rsidRPr="00312D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переселени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</w:t>
      </w:r>
      <w:r w:rsidRPr="00312D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граждан из аварийного жилья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использовано 15469,713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70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Приобретено на аукционе 5 квартир, с гражданами заключены договоры мены, социального найма</w:t>
      </w:r>
      <w:r w:rsidR="0069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1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заключен контракт на еще 4 квартиры, срок исполнения октябрь 2024г.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01.10.2024 расселено 383,39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аварийного жилья (18 человек).</w:t>
      </w:r>
    </w:p>
    <w:p w14:paraId="0506AFEA" w14:textId="22319959" w:rsidR="005E58B5" w:rsidRPr="001D782A" w:rsidRDefault="001E0B66" w:rsidP="009F1FA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D7CB6" w:rsidRPr="001E0B66">
        <w:rPr>
          <w:rFonts w:ascii="Times New Roman" w:hAnsi="Times New Roman" w:cs="Times New Roman"/>
          <w:b/>
          <w:sz w:val="24"/>
          <w:szCs w:val="24"/>
        </w:rPr>
        <w:t>Комплекс процессных мероприятий 1 «Управление муниципальной собственностью»:</w:t>
      </w:r>
      <w:r w:rsidR="00016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2AF" w:rsidRPr="000162AF">
        <w:rPr>
          <w:rFonts w:ascii="Times New Roman" w:hAnsi="Times New Roman" w:cs="Times New Roman"/>
          <w:sz w:val="24"/>
          <w:szCs w:val="24"/>
        </w:rPr>
        <w:t>п</w:t>
      </w:r>
      <w:r w:rsidR="002D7CB6" w:rsidRPr="001D782A">
        <w:rPr>
          <w:rFonts w:ascii="Times New Roman" w:hAnsi="Times New Roman" w:cs="Times New Roman"/>
          <w:sz w:val="24"/>
          <w:szCs w:val="24"/>
        </w:rPr>
        <w:t xml:space="preserve">о </w:t>
      </w:r>
      <w:r w:rsidR="00CB1EA1">
        <w:rPr>
          <w:rFonts w:ascii="Times New Roman" w:hAnsi="Times New Roman" w:cs="Times New Roman"/>
          <w:sz w:val="24"/>
          <w:szCs w:val="24"/>
        </w:rPr>
        <w:t>м</w:t>
      </w:r>
      <w:r w:rsidR="002D7CB6" w:rsidRPr="001D782A">
        <w:rPr>
          <w:rFonts w:ascii="Times New Roman" w:hAnsi="Times New Roman" w:cs="Times New Roman"/>
          <w:sz w:val="24"/>
          <w:szCs w:val="24"/>
        </w:rPr>
        <w:t xml:space="preserve">ероприятию </w:t>
      </w:r>
      <w:r w:rsidR="00724116">
        <w:rPr>
          <w:rFonts w:ascii="Times New Roman" w:hAnsi="Times New Roman" w:cs="Times New Roman"/>
          <w:sz w:val="24"/>
          <w:szCs w:val="24"/>
        </w:rPr>
        <w:t>1.1. «Обеспечение деятельности муниципальных учреждений» на содержание МУ «Комфорт-сервис»</w:t>
      </w:r>
      <w:r w:rsidR="00343500">
        <w:rPr>
          <w:rFonts w:ascii="Times New Roman" w:hAnsi="Times New Roman" w:cs="Times New Roman"/>
          <w:sz w:val="24"/>
          <w:szCs w:val="24"/>
        </w:rPr>
        <w:t xml:space="preserve"> направлено </w:t>
      </w:r>
      <w:r w:rsidR="009C1CA9">
        <w:rPr>
          <w:rFonts w:ascii="Times New Roman" w:hAnsi="Times New Roman" w:cs="Times New Roman"/>
          <w:sz w:val="24"/>
          <w:szCs w:val="24"/>
        </w:rPr>
        <w:t>1603,79559</w:t>
      </w:r>
      <w:r w:rsidR="00343500">
        <w:rPr>
          <w:rFonts w:ascii="Times New Roman" w:hAnsi="Times New Roman" w:cs="Times New Roman"/>
          <w:sz w:val="24"/>
          <w:szCs w:val="24"/>
        </w:rPr>
        <w:t xml:space="preserve"> тыс. руб.; </w:t>
      </w:r>
      <w:r w:rsidR="00343500" w:rsidRPr="000162AF">
        <w:rPr>
          <w:rFonts w:ascii="Times New Roman" w:hAnsi="Times New Roman" w:cs="Times New Roman"/>
          <w:sz w:val="24"/>
          <w:szCs w:val="24"/>
        </w:rPr>
        <w:t>п</w:t>
      </w:r>
      <w:r w:rsidR="00343500" w:rsidRPr="001D782A">
        <w:rPr>
          <w:rFonts w:ascii="Times New Roman" w:hAnsi="Times New Roman" w:cs="Times New Roman"/>
          <w:sz w:val="24"/>
          <w:szCs w:val="24"/>
        </w:rPr>
        <w:t xml:space="preserve">о </w:t>
      </w:r>
      <w:r w:rsidR="00343500">
        <w:rPr>
          <w:rFonts w:ascii="Times New Roman" w:hAnsi="Times New Roman" w:cs="Times New Roman"/>
          <w:sz w:val="24"/>
          <w:szCs w:val="24"/>
        </w:rPr>
        <w:t>м</w:t>
      </w:r>
      <w:r w:rsidR="00343500" w:rsidRPr="001D782A">
        <w:rPr>
          <w:rFonts w:ascii="Times New Roman" w:hAnsi="Times New Roman" w:cs="Times New Roman"/>
          <w:sz w:val="24"/>
          <w:szCs w:val="24"/>
        </w:rPr>
        <w:t>ероприятию</w:t>
      </w:r>
      <w:r w:rsidR="00724116">
        <w:rPr>
          <w:rFonts w:ascii="Times New Roman" w:hAnsi="Times New Roman" w:cs="Times New Roman"/>
          <w:sz w:val="24"/>
          <w:szCs w:val="24"/>
        </w:rPr>
        <w:t xml:space="preserve"> </w:t>
      </w:r>
      <w:r w:rsidR="002D7CB6" w:rsidRPr="00724116">
        <w:rPr>
          <w:rFonts w:ascii="Times New Roman" w:hAnsi="Times New Roman" w:cs="Times New Roman"/>
          <w:sz w:val="24"/>
          <w:szCs w:val="24"/>
        </w:rPr>
        <w:t>1.</w:t>
      </w:r>
      <w:r w:rsidR="00724116" w:rsidRPr="00724116">
        <w:rPr>
          <w:rFonts w:ascii="Times New Roman" w:hAnsi="Times New Roman" w:cs="Times New Roman"/>
          <w:sz w:val="24"/>
          <w:szCs w:val="24"/>
        </w:rPr>
        <w:t>2</w:t>
      </w:r>
      <w:r w:rsidR="002D7CB6" w:rsidRPr="00724116">
        <w:rPr>
          <w:rFonts w:ascii="Times New Roman" w:hAnsi="Times New Roman" w:cs="Times New Roman"/>
          <w:sz w:val="24"/>
          <w:szCs w:val="24"/>
        </w:rPr>
        <w:t xml:space="preserve"> «Владение, пользование и распоряжение муниципальной собственностью» использовано </w:t>
      </w:r>
      <w:r w:rsidR="00326BAB">
        <w:rPr>
          <w:rFonts w:ascii="Times New Roman" w:hAnsi="Times New Roman" w:cs="Times New Roman"/>
          <w:bCs/>
          <w:sz w:val="24"/>
          <w:szCs w:val="24"/>
        </w:rPr>
        <w:t>2833,87067</w:t>
      </w:r>
      <w:r w:rsidR="00724116" w:rsidRPr="0072411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2D7CB6" w:rsidRPr="0072411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2D7CB6" w:rsidRPr="00724116">
        <w:rPr>
          <w:rFonts w:ascii="Times New Roman" w:hAnsi="Times New Roman" w:cs="Times New Roman"/>
          <w:sz w:val="24"/>
          <w:szCs w:val="24"/>
        </w:rPr>
        <w:t>. на оплату выполнения следующих работ, услуг:</w:t>
      </w:r>
      <w:r w:rsidR="003E6FC6" w:rsidRPr="00724116">
        <w:rPr>
          <w:rFonts w:ascii="Times New Roman" w:hAnsi="Times New Roman" w:cs="Times New Roman"/>
          <w:sz w:val="24"/>
          <w:szCs w:val="24"/>
        </w:rPr>
        <w:t xml:space="preserve"> </w:t>
      </w:r>
      <w:r w:rsidR="002D7CB6" w:rsidRPr="00724116">
        <w:rPr>
          <w:rFonts w:ascii="Times New Roman" w:hAnsi="Times New Roman" w:cs="Times New Roman"/>
          <w:sz w:val="24"/>
          <w:szCs w:val="24"/>
        </w:rPr>
        <w:t xml:space="preserve">оплата за потребленную </w:t>
      </w:r>
      <w:proofErr w:type="spellStart"/>
      <w:r w:rsidR="002D7CB6" w:rsidRPr="00724116">
        <w:rPr>
          <w:rFonts w:ascii="Times New Roman" w:hAnsi="Times New Roman" w:cs="Times New Roman"/>
          <w:sz w:val="24"/>
          <w:szCs w:val="24"/>
        </w:rPr>
        <w:t>теплоэнергию</w:t>
      </w:r>
      <w:proofErr w:type="spellEnd"/>
      <w:r w:rsidR="002D7CB6" w:rsidRPr="00724116">
        <w:rPr>
          <w:rFonts w:ascii="Times New Roman" w:hAnsi="Times New Roman" w:cs="Times New Roman"/>
          <w:sz w:val="24"/>
          <w:szCs w:val="24"/>
        </w:rPr>
        <w:t>, электроэнергию</w:t>
      </w:r>
      <w:r w:rsidR="00724116" w:rsidRPr="00724116">
        <w:rPr>
          <w:rFonts w:ascii="Times New Roman" w:hAnsi="Times New Roman" w:cs="Times New Roman"/>
          <w:sz w:val="24"/>
          <w:szCs w:val="24"/>
        </w:rPr>
        <w:t>, водоснабжение</w:t>
      </w:r>
      <w:r w:rsidR="002D7CB6" w:rsidRPr="00724116">
        <w:rPr>
          <w:rFonts w:ascii="Times New Roman" w:hAnsi="Times New Roman" w:cs="Times New Roman"/>
          <w:sz w:val="24"/>
          <w:szCs w:val="24"/>
        </w:rPr>
        <w:t xml:space="preserve"> на муниципальных объектах, содержание пустующих помещений,</w:t>
      </w:r>
      <w:r w:rsidR="00CB1EA1" w:rsidRPr="00724116">
        <w:rPr>
          <w:rFonts w:ascii="Times New Roman" w:hAnsi="Times New Roman" w:cs="Times New Roman"/>
          <w:sz w:val="24"/>
          <w:szCs w:val="24"/>
        </w:rPr>
        <w:t xml:space="preserve"> </w:t>
      </w:r>
      <w:r w:rsidR="00724116" w:rsidRPr="00724116">
        <w:rPr>
          <w:rFonts w:ascii="Times New Roman" w:hAnsi="Times New Roman" w:cs="Times New Roman"/>
          <w:sz w:val="24"/>
          <w:szCs w:val="24"/>
        </w:rPr>
        <w:t xml:space="preserve">содержание автостанции, </w:t>
      </w:r>
      <w:r w:rsidR="002D7CB6" w:rsidRPr="00724116">
        <w:rPr>
          <w:rFonts w:ascii="Times New Roman" w:hAnsi="Times New Roman" w:cs="Times New Roman"/>
          <w:sz w:val="24"/>
          <w:szCs w:val="24"/>
        </w:rPr>
        <w:t>услуги ЕИРЦ (агентское вознаграждение), техническое обслуживание газовых сетей, электроустановок</w:t>
      </w:r>
      <w:r w:rsidR="00724116" w:rsidRPr="00724116">
        <w:rPr>
          <w:rFonts w:ascii="Times New Roman" w:hAnsi="Times New Roman" w:cs="Times New Roman"/>
          <w:sz w:val="24"/>
          <w:szCs w:val="24"/>
        </w:rPr>
        <w:t>, услуги по оценке объектов</w:t>
      </w:r>
      <w:r w:rsidR="00085A5C">
        <w:rPr>
          <w:rFonts w:ascii="Times New Roman" w:hAnsi="Times New Roman" w:cs="Times New Roman"/>
          <w:sz w:val="24"/>
          <w:szCs w:val="24"/>
        </w:rPr>
        <w:t>, техническое обследование здания Школьная, д.67.</w:t>
      </w:r>
      <w:bookmarkStart w:id="8" w:name="_GoBack"/>
      <w:bookmarkEnd w:id="8"/>
      <w:r w:rsidR="00343500">
        <w:rPr>
          <w:rFonts w:ascii="Times New Roman" w:hAnsi="Times New Roman" w:cs="Times New Roman"/>
          <w:sz w:val="24"/>
          <w:szCs w:val="24"/>
        </w:rPr>
        <w:t xml:space="preserve"> </w:t>
      </w:r>
      <w:r w:rsidR="00326BAB">
        <w:rPr>
          <w:rFonts w:ascii="Times New Roman" w:hAnsi="Times New Roman" w:cs="Times New Roman"/>
          <w:sz w:val="24"/>
          <w:szCs w:val="24"/>
        </w:rPr>
        <w:t>П</w:t>
      </w:r>
      <w:r w:rsidR="00CB1EA1">
        <w:rPr>
          <w:rFonts w:ascii="Times New Roman" w:hAnsi="Times New Roman" w:cs="Times New Roman"/>
          <w:sz w:val="24"/>
          <w:szCs w:val="24"/>
        </w:rPr>
        <w:t>о м</w:t>
      </w:r>
      <w:r w:rsidR="005E58B5" w:rsidRPr="00CB1EA1">
        <w:rPr>
          <w:rFonts w:ascii="Times New Roman" w:hAnsi="Times New Roman" w:cs="Times New Roman"/>
          <w:sz w:val="24"/>
          <w:szCs w:val="24"/>
        </w:rPr>
        <w:t xml:space="preserve">ероприятию </w:t>
      </w:r>
      <w:r w:rsidR="002D7CB6" w:rsidRPr="00CB1EA1">
        <w:rPr>
          <w:rFonts w:ascii="Times New Roman" w:hAnsi="Times New Roman" w:cs="Times New Roman"/>
          <w:sz w:val="24"/>
          <w:szCs w:val="24"/>
        </w:rPr>
        <w:t>1.</w:t>
      </w:r>
      <w:r w:rsidR="00724116">
        <w:rPr>
          <w:rFonts w:ascii="Times New Roman" w:hAnsi="Times New Roman" w:cs="Times New Roman"/>
          <w:sz w:val="24"/>
          <w:szCs w:val="24"/>
        </w:rPr>
        <w:t>3</w:t>
      </w:r>
      <w:r w:rsidR="002D7CB6" w:rsidRPr="00CB1EA1">
        <w:rPr>
          <w:rFonts w:ascii="Times New Roman" w:hAnsi="Times New Roman" w:cs="Times New Roman"/>
          <w:sz w:val="24"/>
          <w:szCs w:val="24"/>
        </w:rPr>
        <w:t xml:space="preserve">. Формирование фонда капитального ремонта многоквартирных домов </w:t>
      </w:r>
      <w:r w:rsidR="005E58B5" w:rsidRPr="00CB1EA1">
        <w:rPr>
          <w:rFonts w:ascii="Times New Roman" w:hAnsi="Times New Roman" w:cs="Times New Roman"/>
          <w:sz w:val="24"/>
          <w:szCs w:val="24"/>
        </w:rPr>
        <w:t xml:space="preserve">в НКО «Фонд капитального ремонта многоквартирных домов Ленинградской области» перечислено </w:t>
      </w:r>
      <w:r w:rsidR="00326BAB">
        <w:rPr>
          <w:rFonts w:ascii="Times New Roman" w:hAnsi="Times New Roman" w:cs="Times New Roman"/>
          <w:sz w:val="24"/>
          <w:szCs w:val="24"/>
        </w:rPr>
        <w:t>3994,76140</w:t>
      </w:r>
      <w:r w:rsidR="005C0F1B" w:rsidRPr="00CB1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8B5" w:rsidRPr="00CB1EA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5E58B5" w:rsidRPr="00CB1EA1">
        <w:rPr>
          <w:rFonts w:ascii="Times New Roman" w:hAnsi="Times New Roman" w:cs="Times New Roman"/>
          <w:sz w:val="24"/>
          <w:szCs w:val="24"/>
        </w:rPr>
        <w:t>.</w:t>
      </w:r>
      <w:r w:rsidR="00A33270" w:rsidRPr="00CB1EA1">
        <w:rPr>
          <w:rFonts w:ascii="Times New Roman" w:hAnsi="Times New Roman" w:cs="Times New Roman"/>
          <w:sz w:val="24"/>
          <w:szCs w:val="24"/>
        </w:rPr>
        <w:t xml:space="preserve">  (оплачены</w:t>
      </w:r>
      <w:r w:rsidR="00A33270" w:rsidRPr="001D782A">
        <w:rPr>
          <w:rFonts w:ascii="Times New Roman" w:hAnsi="Times New Roman" w:cs="Times New Roman"/>
          <w:sz w:val="24"/>
          <w:szCs w:val="24"/>
        </w:rPr>
        <w:t xml:space="preserve"> счета </w:t>
      </w:r>
      <w:r w:rsidR="004B747B" w:rsidRPr="001D782A">
        <w:rPr>
          <w:rFonts w:ascii="Times New Roman" w:hAnsi="Times New Roman" w:cs="Times New Roman"/>
          <w:sz w:val="24"/>
          <w:szCs w:val="24"/>
        </w:rPr>
        <w:t>за</w:t>
      </w:r>
      <w:r w:rsidR="00A33270" w:rsidRPr="001D782A">
        <w:rPr>
          <w:rFonts w:ascii="Times New Roman" w:hAnsi="Times New Roman" w:cs="Times New Roman"/>
          <w:sz w:val="24"/>
          <w:szCs w:val="24"/>
        </w:rPr>
        <w:t xml:space="preserve"> январ</w:t>
      </w:r>
      <w:r w:rsidR="004B747B" w:rsidRPr="001D782A">
        <w:rPr>
          <w:rFonts w:ascii="Times New Roman" w:hAnsi="Times New Roman" w:cs="Times New Roman"/>
          <w:sz w:val="24"/>
          <w:szCs w:val="24"/>
        </w:rPr>
        <w:t>ь</w:t>
      </w:r>
      <w:r w:rsidR="00326BAB">
        <w:rPr>
          <w:rFonts w:ascii="Times New Roman" w:hAnsi="Times New Roman" w:cs="Times New Roman"/>
          <w:sz w:val="24"/>
          <w:szCs w:val="24"/>
        </w:rPr>
        <w:t xml:space="preserve"> </w:t>
      </w:r>
      <w:r w:rsidR="00C00008" w:rsidRPr="001D782A">
        <w:rPr>
          <w:rFonts w:ascii="Times New Roman" w:hAnsi="Times New Roman" w:cs="Times New Roman"/>
          <w:sz w:val="24"/>
          <w:szCs w:val="24"/>
        </w:rPr>
        <w:t xml:space="preserve">- </w:t>
      </w:r>
      <w:r w:rsidR="00326BAB">
        <w:rPr>
          <w:rFonts w:ascii="Times New Roman" w:hAnsi="Times New Roman" w:cs="Times New Roman"/>
          <w:sz w:val="24"/>
          <w:szCs w:val="24"/>
        </w:rPr>
        <w:t>август</w:t>
      </w:r>
      <w:r w:rsidR="00F81A6A">
        <w:rPr>
          <w:rFonts w:ascii="Times New Roman" w:hAnsi="Times New Roman" w:cs="Times New Roman"/>
          <w:sz w:val="24"/>
          <w:szCs w:val="24"/>
        </w:rPr>
        <w:t xml:space="preserve"> </w:t>
      </w:r>
      <w:r w:rsidR="00A33270" w:rsidRPr="001D782A">
        <w:rPr>
          <w:rFonts w:ascii="Times New Roman" w:hAnsi="Times New Roman" w:cs="Times New Roman"/>
          <w:sz w:val="24"/>
          <w:szCs w:val="24"/>
        </w:rPr>
        <w:t>20</w:t>
      </w:r>
      <w:r w:rsidR="005C0F1B" w:rsidRPr="001D782A">
        <w:rPr>
          <w:rFonts w:ascii="Times New Roman" w:hAnsi="Times New Roman" w:cs="Times New Roman"/>
          <w:sz w:val="24"/>
          <w:szCs w:val="24"/>
        </w:rPr>
        <w:t>2</w:t>
      </w:r>
      <w:r w:rsidR="00343500">
        <w:rPr>
          <w:rFonts w:ascii="Times New Roman" w:hAnsi="Times New Roman" w:cs="Times New Roman"/>
          <w:sz w:val="24"/>
          <w:szCs w:val="24"/>
        </w:rPr>
        <w:t>4</w:t>
      </w:r>
      <w:r w:rsidR="002D7CB6">
        <w:rPr>
          <w:rFonts w:ascii="Times New Roman" w:hAnsi="Times New Roman" w:cs="Times New Roman"/>
          <w:sz w:val="24"/>
          <w:szCs w:val="24"/>
        </w:rPr>
        <w:t xml:space="preserve"> года). На 01.</w:t>
      </w:r>
      <w:r w:rsidR="00326BAB">
        <w:rPr>
          <w:rFonts w:ascii="Times New Roman" w:hAnsi="Times New Roman" w:cs="Times New Roman"/>
          <w:sz w:val="24"/>
          <w:szCs w:val="24"/>
        </w:rPr>
        <w:t>10</w:t>
      </w:r>
      <w:r w:rsidR="00A33270" w:rsidRPr="001D782A">
        <w:rPr>
          <w:rFonts w:ascii="Times New Roman" w:hAnsi="Times New Roman" w:cs="Times New Roman"/>
          <w:sz w:val="24"/>
          <w:szCs w:val="24"/>
        </w:rPr>
        <w:t>.20</w:t>
      </w:r>
      <w:r w:rsidR="005C0F1B" w:rsidRPr="001D782A">
        <w:rPr>
          <w:rFonts w:ascii="Times New Roman" w:hAnsi="Times New Roman" w:cs="Times New Roman"/>
          <w:sz w:val="24"/>
          <w:szCs w:val="24"/>
        </w:rPr>
        <w:t>2</w:t>
      </w:r>
      <w:r w:rsidR="00343500">
        <w:rPr>
          <w:rFonts w:ascii="Times New Roman" w:hAnsi="Times New Roman" w:cs="Times New Roman"/>
          <w:sz w:val="24"/>
          <w:szCs w:val="24"/>
        </w:rPr>
        <w:t>4</w:t>
      </w:r>
      <w:r w:rsidR="00A33270" w:rsidRPr="001D782A">
        <w:rPr>
          <w:rFonts w:ascii="Times New Roman" w:hAnsi="Times New Roman" w:cs="Times New Roman"/>
          <w:sz w:val="24"/>
          <w:szCs w:val="24"/>
        </w:rPr>
        <w:t xml:space="preserve"> общая площадь муниципального жилищного и нежилого фонда </w:t>
      </w:r>
      <w:r w:rsidR="00A33270" w:rsidRPr="00390D63">
        <w:rPr>
          <w:rFonts w:ascii="Times New Roman" w:hAnsi="Times New Roman" w:cs="Times New Roman"/>
          <w:sz w:val="24"/>
          <w:szCs w:val="24"/>
        </w:rPr>
        <w:t xml:space="preserve">–  </w:t>
      </w:r>
      <w:r w:rsidR="007E64BB">
        <w:rPr>
          <w:rFonts w:ascii="Times New Roman" w:hAnsi="Times New Roman" w:cs="Times New Roman"/>
          <w:sz w:val="24"/>
          <w:szCs w:val="24"/>
        </w:rPr>
        <w:t>41</w:t>
      </w:r>
      <w:r w:rsidR="00326BAB">
        <w:rPr>
          <w:rFonts w:ascii="Times New Roman" w:hAnsi="Times New Roman" w:cs="Times New Roman"/>
          <w:sz w:val="24"/>
          <w:szCs w:val="24"/>
        </w:rPr>
        <w:t>439,31</w:t>
      </w:r>
      <w:r w:rsidR="00A33270" w:rsidRPr="001D782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33270" w:rsidRPr="001D782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33270" w:rsidRPr="001D782A">
        <w:rPr>
          <w:rFonts w:ascii="Times New Roman" w:hAnsi="Times New Roman" w:cs="Times New Roman"/>
          <w:sz w:val="24"/>
          <w:szCs w:val="24"/>
        </w:rPr>
        <w:t>.</w:t>
      </w:r>
    </w:p>
    <w:p w14:paraId="6C975BD4" w14:textId="3A9F4BFC" w:rsidR="000162AF" w:rsidRDefault="00390D63" w:rsidP="000162A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D63">
        <w:rPr>
          <w:rFonts w:ascii="Times New Roman" w:hAnsi="Times New Roman" w:cs="Times New Roman"/>
          <w:b/>
          <w:sz w:val="24"/>
          <w:szCs w:val="24"/>
        </w:rPr>
        <w:t>Комплекс процессных мероприятий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D63">
        <w:rPr>
          <w:rFonts w:ascii="Times New Roman" w:hAnsi="Times New Roman" w:cs="Times New Roman"/>
          <w:b/>
          <w:sz w:val="24"/>
          <w:szCs w:val="24"/>
        </w:rPr>
        <w:t>«Строительство, архитектура и градостроительная деятельность»</w:t>
      </w:r>
      <w:r w:rsidR="001E0B66">
        <w:rPr>
          <w:rFonts w:ascii="Times New Roman" w:hAnsi="Times New Roman" w:cs="Times New Roman"/>
          <w:b/>
          <w:sz w:val="24"/>
          <w:szCs w:val="24"/>
        </w:rPr>
        <w:t>:</w:t>
      </w:r>
      <w:r w:rsidR="00016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BAB" w:rsidRPr="00326BAB">
        <w:rPr>
          <w:rFonts w:ascii="Times New Roman" w:hAnsi="Times New Roman" w:cs="Times New Roman"/>
          <w:sz w:val="24"/>
          <w:szCs w:val="24"/>
        </w:rPr>
        <w:t>За</w:t>
      </w:r>
      <w:r w:rsidR="00343500" w:rsidRPr="00326BAB">
        <w:rPr>
          <w:rFonts w:ascii="Times New Roman" w:hAnsi="Times New Roman" w:cs="Times New Roman"/>
          <w:sz w:val="24"/>
          <w:szCs w:val="24"/>
        </w:rPr>
        <w:t>планир</w:t>
      </w:r>
      <w:r w:rsidR="00326BAB" w:rsidRPr="00326BAB">
        <w:rPr>
          <w:rFonts w:ascii="Times New Roman" w:hAnsi="Times New Roman" w:cs="Times New Roman"/>
          <w:sz w:val="24"/>
          <w:szCs w:val="24"/>
        </w:rPr>
        <w:t xml:space="preserve">ованные строительные работы </w:t>
      </w:r>
      <w:proofErr w:type="gramStart"/>
      <w:r w:rsidR="00245424">
        <w:rPr>
          <w:rFonts w:ascii="Times New Roman" w:hAnsi="Times New Roman" w:cs="Times New Roman"/>
          <w:sz w:val="24"/>
          <w:szCs w:val="24"/>
        </w:rPr>
        <w:t>( два</w:t>
      </w:r>
      <w:proofErr w:type="gramEnd"/>
      <w:r w:rsidR="00245424">
        <w:rPr>
          <w:rFonts w:ascii="Times New Roman" w:hAnsi="Times New Roman" w:cs="Times New Roman"/>
          <w:sz w:val="24"/>
          <w:szCs w:val="24"/>
        </w:rPr>
        <w:t xml:space="preserve"> участка сетей уличного освещения) </w:t>
      </w:r>
      <w:r w:rsidR="00326BAB" w:rsidRPr="00326BAB">
        <w:rPr>
          <w:rFonts w:ascii="Times New Roman" w:hAnsi="Times New Roman" w:cs="Times New Roman"/>
          <w:sz w:val="24"/>
          <w:szCs w:val="24"/>
        </w:rPr>
        <w:t>выполнены</w:t>
      </w:r>
      <w:r w:rsidR="00F81A6A">
        <w:rPr>
          <w:rFonts w:ascii="Times New Roman" w:hAnsi="Times New Roman" w:cs="Times New Roman"/>
          <w:sz w:val="24"/>
          <w:szCs w:val="24"/>
        </w:rPr>
        <w:t>.</w:t>
      </w:r>
    </w:p>
    <w:p w14:paraId="05AABA39" w14:textId="77777777" w:rsidR="00F81A6A" w:rsidRPr="000162AF" w:rsidRDefault="00F81A6A" w:rsidP="000162A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B66">
        <w:rPr>
          <w:rFonts w:ascii="Times New Roman" w:hAnsi="Times New Roman" w:cs="Times New Roman"/>
          <w:b/>
          <w:sz w:val="24"/>
          <w:szCs w:val="24"/>
        </w:rPr>
        <w:t xml:space="preserve">Комплекс процессных мероприятий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F81A6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Pr="00BC38B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Обеспечение устойчивого сокращения непригодного для проживания жилищного фонда</w:t>
      </w:r>
      <w:r w:rsidRPr="00F81A6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: </w:t>
      </w:r>
      <w:r w:rsidR="00FA63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запланированны</w:t>
      </w:r>
      <w:r w:rsidR="00B63D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</w:t>
      </w:r>
      <w:r w:rsidR="00FA63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435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средств</w:t>
      </w:r>
      <w:r w:rsidR="00B63D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="003435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использован</w:t>
      </w:r>
      <w:r w:rsidR="00B63D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</w:t>
      </w:r>
      <w:r w:rsidR="003435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снос</w:t>
      </w:r>
      <w:r w:rsidR="00B63D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двух</w:t>
      </w:r>
      <w:r w:rsidR="003435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аварийн</w:t>
      </w:r>
      <w:r w:rsidR="00B63D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ых</w:t>
      </w:r>
      <w:r w:rsidR="003435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МКД</w:t>
      </w:r>
      <w:r w:rsidRPr="000162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FA63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После подписания соглашения на </w:t>
      </w:r>
      <w:proofErr w:type="spellStart"/>
      <w:r w:rsidR="00FA63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софинансирование</w:t>
      </w:r>
      <w:proofErr w:type="spellEnd"/>
      <w:r w:rsidR="00FA63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мероприятий по программе переселения </w:t>
      </w:r>
      <w:r w:rsidR="00B63D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часть </w:t>
      </w:r>
      <w:r w:rsidR="00FA63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средств перенесены в проектную часть программы.</w:t>
      </w:r>
    </w:p>
    <w:p w14:paraId="01B6C6E5" w14:textId="7CFFE768" w:rsidR="000162AF" w:rsidRPr="000162AF" w:rsidRDefault="000162AF" w:rsidP="000162A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81A6A" w:rsidRPr="000162AF">
        <w:rPr>
          <w:rFonts w:ascii="Times New Roman" w:hAnsi="Times New Roman" w:cs="Times New Roman"/>
          <w:b/>
          <w:sz w:val="24"/>
          <w:szCs w:val="24"/>
        </w:rPr>
        <w:t xml:space="preserve">Комплекс процессных мероприятий </w:t>
      </w:r>
      <w:r w:rsidRPr="000162AF">
        <w:rPr>
          <w:rFonts w:ascii="Times New Roman" w:hAnsi="Times New Roman" w:cs="Times New Roman"/>
          <w:b/>
          <w:sz w:val="24"/>
          <w:szCs w:val="24"/>
        </w:rPr>
        <w:t>4</w:t>
      </w:r>
      <w:r w:rsidR="00F81A6A" w:rsidRPr="00016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2A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«Административно-хозяйственное обеспечение деятельности органов</w:t>
      </w:r>
      <w:r w:rsidR="002454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0162A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местного самоуправления и подведомственных учреждений </w:t>
      </w:r>
      <w:proofErr w:type="spellStart"/>
      <w:r w:rsidRPr="000162A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Пикалевского</w:t>
      </w:r>
      <w:proofErr w:type="spellEnd"/>
      <w:r w:rsidRPr="000162A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городского поселения»: </w:t>
      </w:r>
      <w:r w:rsidRPr="000162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средства использованы в соответствии с кассовым планом </w:t>
      </w:r>
      <w:r w:rsidR="00085A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МКУ «Центр АХО»;</w:t>
      </w:r>
      <w:r w:rsidRPr="000162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запланированные средства на возмещение исков использованы</w:t>
      </w:r>
      <w:r w:rsidR="00326B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частично</w:t>
      </w:r>
      <w:r w:rsidR="00085A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 w:rsidR="00FA63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произведена оплата судебной экспертизы по </w:t>
      </w:r>
      <w:r w:rsidR="007E64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судебному </w:t>
      </w:r>
      <w:r w:rsidR="00FA63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делу</w:t>
      </w:r>
      <w:r w:rsidR="007E64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(53,0 </w:t>
      </w:r>
      <w:proofErr w:type="spellStart"/>
      <w:r w:rsidR="007E64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тыс.руб</w:t>
      </w:r>
      <w:proofErr w:type="spellEnd"/>
      <w:r w:rsidR="007E64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.)</w:t>
      </w:r>
      <w:r w:rsidR="002454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оплачен штраф, выставленный администрации за несоблюдение требований безопасности дорожного движения (50,0 </w:t>
      </w:r>
      <w:proofErr w:type="spellStart"/>
      <w:r w:rsidR="002454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тыс.руб</w:t>
      </w:r>
      <w:proofErr w:type="spellEnd"/>
      <w:r w:rsidR="002454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.)</w:t>
      </w:r>
      <w:r w:rsidRPr="000162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5BF8FCC8" w14:textId="77777777" w:rsidR="00F81A6A" w:rsidRDefault="00F81A6A" w:rsidP="006E07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066A55" w14:textId="77777777" w:rsidR="008C0659" w:rsidRDefault="00DE5CD9" w:rsidP="009F1FA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82A">
        <w:rPr>
          <w:rFonts w:ascii="Times New Roman" w:hAnsi="Times New Roman" w:cs="Times New Roman"/>
          <w:sz w:val="24"/>
          <w:szCs w:val="24"/>
        </w:rPr>
        <w:t>Заведующий ОУМИ</w:t>
      </w:r>
      <w:r w:rsidRPr="001D782A">
        <w:rPr>
          <w:rFonts w:ascii="Times New Roman" w:hAnsi="Times New Roman" w:cs="Times New Roman"/>
          <w:sz w:val="24"/>
          <w:szCs w:val="24"/>
        </w:rPr>
        <w:tab/>
      </w:r>
      <w:r w:rsidRPr="001D782A">
        <w:rPr>
          <w:rFonts w:ascii="Times New Roman" w:hAnsi="Times New Roman" w:cs="Times New Roman"/>
          <w:sz w:val="24"/>
          <w:szCs w:val="24"/>
        </w:rPr>
        <w:tab/>
      </w:r>
      <w:r w:rsidRPr="001D782A">
        <w:rPr>
          <w:rFonts w:ascii="Times New Roman" w:hAnsi="Times New Roman" w:cs="Times New Roman"/>
          <w:sz w:val="24"/>
          <w:szCs w:val="24"/>
        </w:rPr>
        <w:tab/>
      </w:r>
      <w:r w:rsidRPr="001D782A">
        <w:rPr>
          <w:rFonts w:ascii="Times New Roman" w:hAnsi="Times New Roman" w:cs="Times New Roman"/>
          <w:sz w:val="24"/>
          <w:szCs w:val="24"/>
        </w:rPr>
        <w:tab/>
      </w:r>
      <w:r w:rsidRPr="001D782A">
        <w:rPr>
          <w:rFonts w:ascii="Times New Roman" w:hAnsi="Times New Roman" w:cs="Times New Roman"/>
          <w:sz w:val="24"/>
          <w:szCs w:val="24"/>
        </w:rPr>
        <w:tab/>
      </w:r>
      <w:r w:rsidRPr="001D782A">
        <w:rPr>
          <w:rFonts w:ascii="Times New Roman" w:hAnsi="Times New Roman" w:cs="Times New Roman"/>
          <w:sz w:val="24"/>
          <w:szCs w:val="24"/>
        </w:rPr>
        <w:tab/>
      </w:r>
      <w:r w:rsidRPr="001D782A">
        <w:rPr>
          <w:rFonts w:ascii="Times New Roman" w:hAnsi="Times New Roman" w:cs="Times New Roman"/>
          <w:sz w:val="24"/>
          <w:szCs w:val="24"/>
        </w:rPr>
        <w:tab/>
      </w:r>
      <w:r w:rsidRPr="001D782A">
        <w:rPr>
          <w:rFonts w:ascii="Times New Roman" w:hAnsi="Times New Roman" w:cs="Times New Roman"/>
          <w:sz w:val="24"/>
          <w:szCs w:val="24"/>
        </w:rPr>
        <w:tab/>
        <w:t>О.А. Васильева</w:t>
      </w:r>
    </w:p>
    <w:sectPr w:rsidR="008C0659" w:rsidSect="00A0683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35B5"/>
    <w:multiLevelType w:val="multilevel"/>
    <w:tmpl w:val="4740E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EA26E0"/>
    <w:multiLevelType w:val="hybridMultilevel"/>
    <w:tmpl w:val="A81CE010"/>
    <w:lvl w:ilvl="0" w:tplc="6F2A0E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242F0"/>
    <w:multiLevelType w:val="hybridMultilevel"/>
    <w:tmpl w:val="A81CE010"/>
    <w:lvl w:ilvl="0" w:tplc="6F2A0E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F6C12"/>
    <w:multiLevelType w:val="multilevel"/>
    <w:tmpl w:val="6A862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07C094E"/>
    <w:multiLevelType w:val="multilevel"/>
    <w:tmpl w:val="5DDE6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AF794A"/>
    <w:multiLevelType w:val="hybridMultilevel"/>
    <w:tmpl w:val="F69A1C98"/>
    <w:lvl w:ilvl="0" w:tplc="F26EE4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B6327"/>
    <w:multiLevelType w:val="hybridMultilevel"/>
    <w:tmpl w:val="576E9AD0"/>
    <w:lvl w:ilvl="0" w:tplc="57921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C673BD"/>
    <w:multiLevelType w:val="hybridMultilevel"/>
    <w:tmpl w:val="867A96C4"/>
    <w:lvl w:ilvl="0" w:tplc="8CC03B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21F1F"/>
    <w:multiLevelType w:val="multilevel"/>
    <w:tmpl w:val="2E5CD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8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8D"/>
    <w:rsid w:val="00011384"/>
    <w:rsid w:val="000162AF"/>
    <w:rsid w:val="0003019B"/>
    <w:rsid w:val="00030882"/>
    <w:rsid w:val="00036EFD"/>
    <w:rsid w:val="000475F3"/>
    <w:rsid w:val="00081174"/>
    <w:rsid w:val="00085A5C"/>
    <w:rsid w:val="00086551"/>
    <w:rsid w:val="000975EB"/>
    <w:rsid w:val="000A014B"/>
    <w:rsid w:val="000A710A"/>
    <w:rsid w:val="000E16D2"/>
    <w:rsid w:val="000E53C1"/>
    <w:rsid w:val="001011B6"/>
    <w:rsid w:val="00115091"/>
    <w:rsid w:val="00116506"/>
    <w:rsid w:val="001455EE"/>
    <w:rsid w:val="001547FB"/>
    <w:rsid w:val="0016555D"/>
    <w:rsid w:val="00172792"/>
    <w:rsid w:val="001735EB"/>
    <w:rsid w:val="00193163"/>
    <w:rsid w:val="001950A3"/>
    <w:rsid w:val="00195FF3"/>
    <w:rsid w:val="001A501F"/>
    <w:rsid w:val="001B1AA5"/>
    <w:rsid w:val="001B43A9"/>
    <w:rsid w:val="001C4FCF"/>
    <w:rsid w:val="001C552E"/>
    <w:rsid w:val="001D782A"/>
    <w:rsid w:val="001E0B66"/>
    <w:rsid w:val="0022131D"/>
    <w:rsid w:val="00225633"/>
    <w:rsid w:val="002359F8"/>
    <w:rsid w:val="0024287C"/>
    <w:rsid w:val="00245424"/>
    <w:rsid w:val="0026482D"/>
    <w:rsid w:val="002656DB"/>
    <w:rsid w:val="002914F7"/>
    <w:rsid w:val="002A1A3D"/>
    <w:rsid w:val="002A76AE"/>
    <w:rsid w:val="002B014A"/>
    <w:rsid w:val="002C44E3"/>
    <w:rsid w:val="002C7730"/>
    <w:rsid w:val="002D197D"/>
    <w:rsid w:val="002D7CB6"/>
    <w:rsid w:val="002F15AC"/>
    <w:rsid w:val="00312D21"/>
    <w:rsid w:val="00313FE5"/>
    <w:rsid w:val="00326A19"/>
    <w:rsid w:val="00326B1A"/>
    <w:rsid w:val="00326BAB"/>
    <w:rsid w:val="00332D2C"/>
    <w:rsid w:val="00343500"/>
    <w:rsid w:val="003438D9"/>
    <w:rsid w:val="00355F34"/>
    <w:rsid w:val="00361A91"/>
    <w:rsid w:val="00361BFF"/>
    <w:rsid w:val="00362D2C"/>
    <w:rsid w:val="00367BC2"/>
    <w:rsid w:val="00390D63"/>
    <w:rsid w:val="003A16BC"/>
    <w:rsid w:val="003B6239"/>
    <w:rsid w:val="003C184F"/>
    <w:rsid w:val="003E210C"/>
    <w:rsid w:val="003E3578"/>
    <w:rsid w:val="003E6FC6"/>
    <w:rsid w:val="003F3277"/>
    <w:rsid w:val="004349E2"/>
    <w:rsid w:val="0043532F"/>
    <w:rsid w:val="0043789F"/>
    <w:rsid w:val="0046539E"/>
    <w:rsid w:val="00466832"/>
    <w:rsid w:val="0049288F"/>
    <w:rsid w:val="00494B8E"/>
    <w:rsid w:val="004A50A7"/>
    <w:rsid w:val="004B1136"/>
    <w:rsid w:val="004B5381"/>
    <w:rsid w:val="004B747B"/>
    <w:rsid w:val="005019FE"/>
    <w:rsid w:val="005027F6"/>
    <w:rsid w:val="005052DB"/>
    <w:rsid w:val="00541CFF"/>
    <w:rsid w:val="00562A01"/>
    <w:rsid w:val="00565A7F"/>
    <w:rsid w:val="00570915"/>
    <w:rsid w:val="0057715F"/>
    <w:rsid w:val="005852BB"/>
    <w:rsid w:val="00596CB3"/>
    <w:rsid w:val="005A5CF1"/>
    <w:rsid w:val="005B25C5"/>
    <w:rsid w:val="005B742D"/>
    <w:rsid w:val="005C0F1B"/>
    <w:rsid w:val="005D6676"/>
    <w:rsid w:val="005E58B5"/>
    <w:rsid w:val="00606F04"/>
    <w:rsid w:val="00621646"/>
    <w:rsid w:val="006274D6"/>
    <w:rsid w:val="00627AA7"/>
    <w:rsid w:val="00644BEE"/>
    <w:rsid w:val="00645268"/>
    <w:rsid w:val="00670396"/>
    <w:rsid w:val="00681C26"/>
    <w:rsid w:val="00690D19"/>
    <w:rsid w:val="0069150A"/>
    <w:rsid w:val="00693674"/>
    <w:rsid w:val="00696CAE"/>
    <w:rsid w:val="006B1E8F"/>
    <w:rsid w:val="006B750A"/>
    <w:rsid w:val="006D1A14"/>
    <w:rsid w:val="006E079D"/>
    <w:rsid w:val="006F570B"/>
    <w:rsid w:val="00724116"/>
    <w:rsid w:val="007619FB"/>
    <w:rsid w:val="00761B89"/>
    <w:rsid w:val="007633EC"/>
    <w:rsid w:val="00783A58"/>
    <w:rsid w:val="007A05DD"/>
    <w:rsid w:val="007A7C5B"/>
    <w:rsid w:val="007D33DC"/>
    <w:rsid w:val="007D7670"/>
    <w:rsid w:val="007E5BDB"/>
    <w:rsid w:val="007E64BB"/>
    <w:rsid w:val="007E7D61"/>
    <w:rsid w:val="007F1AA3"/>
    <w:rsid w:val="007F52A2"/>
    <w:rsid w:val="00812C7A"/>
    <w:rsid w:val="00826339"/>
    <w:rsid w:val="00830B79"/>
    <w:rsid w:val="008512C4"/>
    <w:rsid w:val="0085404C"/>
    <w:rsid w:val="008556E9"/>
    <w:rsid w:val="0085786E"/>
    <w:rsid w:val="008601FD"/>
    <w:rsid w:val="00882CAE"/>
    <w:rsid w:val="00884BF0"/>
    <w:rsid w:val="00886A86"/>
    <w:rsid w:val="00892742"/>
    <w:rsid w:val="008A5F6E"/>
    <w:rsid w:val="008C0659"/>
    <w:rsid w:val="008C34F3"/>
    <w:rsid w:val="008E182F"/>
    <w:rsid w:val="008E1C8D"/>
    <w:rsid w:val="00900CFF"/>
    <w:rsid w:val="0090711F"/>
    <w:rsid w:val="00924579"/>
    <w:rsid w:val="0092563E"/>
    <w:rsid w:val="00926927"/>
    <w:rsid w:val="00954B2C"/>
    <w:rsid w:val="0096367B"/>
    <w:rsid w:val="00974A7A"/>
    <w:rsid w:val="0097761E"/>
    <w:rsid w:val="009821CB"/>
    <w:rsid w:val="00986072"/>
    <w:rsid w:val="0098669E"/>
    <w:rsid w:val="00992726"/>
    <w:rsid w:val="00996E9C"/>
    <w:rsid w:val="009B0B3B"/>
    <w:rsid w:val="009C1CA9"/>
    <w:rsid w:val="009C595E"/>
    <w:rsid w:val="009E42B6"/>
    <w:rsid w:val="009E5EAC"/>
    <w:rsid w:val="009F1FAB"/>
    <w:rsid w:val="009F3F84"/>
    <w:rsid w:val="00A00C45"/>
    <w:rsid w:val="00A03217"/>
    <w:rsid w:val="00A066E0"/>
    <w:rsid w:val="00A06830"/>
    <w:rsid w:val="00A07314"/>
    <w:rsid w:val="00A15571"/>
    <w:rsid w:val="00A27164"/>
    <w:rsid w:val="00A33270"/>
    <w:rsid w:val="00A36209"/>
    <w:rsid w:val="00A64725"/>
    <w:rsid w:val="00A82570"/>
    <w:rsid w:val="00AA684F"/>
    <w:rsid w:val="00AD7CF6"/>
    <w:rsid w:val="00AE2B9F"/>
    <w:rsid w:val="00AF1CAA"/>
    <w:rsid w:val="00AF3EEC"/>
    <w:rsid w:val="00B0003B"/>
    <w:rsid w:val="00B02E6E"/>
    <w:rsid w:val="00B12D05"/>
    <w:rsid w:val="00B23839"/>
    <w:rsid w:val="00B23DEF"/>
    <w:rsid w:val="00B37C9E"/>
    <w:rsid w:val="00B63D64"/>
    <w:rsid w:val="00B72AF1"/>
    <w:rsid w:val="00B76D15"/>
    <w:rsid w:val="00B86B5C"/>
    <w:rsid w:val="00B92555"/>
    <w:rsid w:val="00BA29AA"/>
    <w:rsid w:val="00BA4BF5"/>
    <w:rsid w:val="00BA68AE"/>
    <w:rsid w:val="00BA710A"/>
    <w:rsid w:val="00BC2C1D"/>
    <w:rsid w:val="00BC38BA"/>
    <w:rsid w:val="00BC6BC5"/>
    <w:rsid w:val="00BD32B6"/>
    <w:rsid w:val="00BD3757"/>
    <w:rsid w:val="00BF2A02"/>
    <w:rsid w:val="00BF3E83"/>
    <w:rsid w:val="00BF4021"/>
    <w:rsid w:val="00C00008"/>
    <w:rsid w:val="00C06A5A"/>
    <w:rsid w:val="00C16732"/>
    <w:rsid w:val="00C25337"/>
    <w:rsid w:val="00C47ED8"/>
    <w:rsid w:val="00C5318B"/>
    <w:rsid w:val="00C55DC1"/>
    <w:rsid w:val="00C62D56"/>
    <w:rsid w:val="00C827D9"/>
    <w:rsid w:val="00C853C0"/>
    <w:rsid w:val="00C868D5"/>
    <w:rsid w:val="00C9261C"/>
    <w:rsid w:val="00CA66B3"/>
    <w:rsid w:val="00CB1EA1"/>
    <w:rsid w:val="00CD7FD2"/>
    <w:rsid w:val="00CE7836"/>
    <w:rsid w:val="00D072CC"/>
    <w:rsid w:val="00D153B7"/>
    <w:rsid w:val="00D17C53"/>
    <w:rsid w:val="00D20F1D"/>
    <w:rsid w:val="00D3283F"/>
    <w:rsid w:val="00D53430"/>
    <w:rsid w:val="00D6182B"/>
    <w:rsid w:val="00D629FF"/>
    <w:rsid w:val="00D632E8"/>
    <w:rsid w:val="00D7796D"/>
    <w:rsid w:val="00D8095D"/>
    <w:rsid w:val="00D97CE3"/>
    <w:rsid w:val="00DA71DA"/>
    <w:rsid w:val="00DB02EA"/>
    <w:rsid w:val="00DB5CF8"/>
    <w:rsid w:val="00DC36BC"/>
    <w:rsid w:val="00DE5C6D"/>
    <w:rsid w:val="00DE5CD9"/>
    <w:rsid w:val="00DF4969"/>
    <w:rsid w:val="00E16C72"/>
    <w:rsid w:val="00E21EE4"/>
    <w:rsid w:val="00E339CC"/>
    <w:rsid w:val="00E439B2"/>
    <w:rsid w:val="00E8106A"/>
    <w:rsid w:val="00E9425E"/>
    <w:rsid w:val="00EB27DB"/>
    <w:rsid w:val="00EB43B1"/>
    <w:rsid w:val="00EB69E6"/>
    <w:rsid w:val="00EC6433"/>
    <w:rsid w:val="00EE016C"/>
    <w:rsid w:val="00EF4632"/>
    <w:rsid w:val="00F511CC"/>
    <w:rsid w:val="00F52196"/>
    <w:rsid w:val="00F5442D"/>
    <w:rsid w:val="00F61EFA"/>
    <w:rsid w:val="00F81A6A"/>
    <w:rsid w:val="00FA1F55"/>
    <w:rsid w:val="00FA63F9"/>
    <w:rsid w:val="00FA70F3"/>
    <w:rsid w:val="00FB7641"/>
    <w:rsid w:val="00FC205A"/>
    <w:rsid w:val="00FC7052"/>
    <w:rsid w:val="00FD1FEB"/>
    <w:rsid w:val="00FD2FDF"/>
    <w:rsid w:val="00FD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7F93"/>
  <w15:docId w15:val="{88F11AB0-13B2-491E-877C-23725432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C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C44E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710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011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Варианты ответов"/>
    <w:basedOn w:val="a"/>
    <w:link w:val="a7"/>
    <w:uiPriority w:val="34"/>
    <w:qFormat/>
    <w:rsid w:val="00C5318B"/>
    <w:pPr>
      <w:ind w:left="720"/>
      <w:contextualSpacing/>
    </w:pPr>
  </w:style>
  <w:style w:type="paragraph" w:customStyle="1" w:styleId="ConsPlusNormal">
    <w:name w:val="ConsPlusNormal"/>
    <w:link w:val="ConsPlusNormal0"/>
    <w:rsid w:val="00627AA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627AA7"/>
    <w:pPr>
      <w:widowControl w:val="0"/>
      <w:suppressAutoHyphens/>
      <w:autoSpaceDE w:val="0"/>
      <w:spacing w:line="240" w:lineRule="auto"/>
    </w:pPr>
    <w:rPr>
      <w:rFonts w:ascii="Arial" w:eastAsia="Times New Roman" w:hAnsi="Arial" w:cs="Arial"/>
      <w:b/>
      <w:bCs/>
      <w:lang w:eastAsia="ar-SA"/>
    </w:rPr>
  </w:style>
  <w:style w:type="character" w:customStyle="1" w:styleId="a7">
    <w:name w:val="Абзац списка Знак"/>
    <w:aliases w:val="Варианты ответов Знак"/>
    <w:link w:val="a6"/>
    <w:uiPriority w:val="34"/>
    <w:locked/>
    <w:rsid w:val="00627AA7"/>
  </w:style>
  <w:style w:type="paragraph" w:styleId="a8">
    <w:name w:val="footer"/>
    <w:basedOn w:val="a"/>
    <w:link w:val="a9"/>
    <w:uiPriority w:val="99"/>
    <w:rsid w:val="00627A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27A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39B2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312D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2D2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12D2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2D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12D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25948-8855-4B1E-AF6C-415E1EC1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</dc:creator>
  <cp:lastModifiedBy>Байловская</cp:lastModifiedBy>
  <cp:revision>5</cp:revision>
  <cp:lastPrinted>2024-10-08T08:59:00Z</cp:lastPrinted>
  <dcterms:created xsi:type="dcterms:W3CDTF">2024-10-07T11:43:00Z</dcterms:created>
  <dcterms:modified xsi:type="dcterms:W3CDTF">2024-10-08T09:18:00Z</dcterms:modified>
</cp:coreProperties>
</file>