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Минтруда России от 11.05.2017 N 18-4/10/П-2943</w:t>
              <w:br/>
              <w:t xml:space="preserve">&lt;О направлении Методических рекомендаций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11 мая 2017 г. N 18-4/10/П-2943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подпунктом "6а" пункта 2 поручения Правительства Российской Федерации от 30 апреля 2016 г. N ДМ-П17-2666, во исполнение </w:t>
      </w:r>
      <w:hyperlink w:history="0" r:id="rId7" w:tooltip="Указ Президента РФ от 01.04.2016 N 147 &quot;О Национальном плане противодействия коррупции на 2016 - 2017 годы&quot; {КонсультантПлюс}">
        <w:r>
          <w:rPr>
            <w:sz w:val="20"/>
            <w:color w:val="0000ff"/>
          </w:rPr>
          <w:t xml:space="preserve">абзаца второго подпункта "ж" пункта 1</w:t>
        </w:r>
      </w:hyperlink>
      <w:r>
        <w:rPr>
          <w:sz w:val="20"/>
        </w:rPr>
        <w:t xml:space="preserve"> Национального плана противодействия коррупции на 2016 - 2017 годы, утвержденного Указом Президента Российской Федерации от 1 апреля 2016 г. N 147, Минтруд России направляет для использования в работе </w:t>
      </w:r>
      <w:hyperlink w:history="0" w:anchor="P17" w:tooltip="МЕТОДИЧЕСКИЕ РЕКОМЕНДАЦИИ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 (прилагаются).</w:t>
      </w:r>
    </w:p>
    <w:p>
      <w:pPr>
        <w:pStyle w:val="0"/>
        <w:spacing w:before="200" w:line-rule="auto"/>
        <w:ind w:firstLine="540"/>
        <w:jc w:val="both"/>
      </w:pPr>
      <w:hyperlink w:history="0" w:anchor="P17" w:tooltip="МЕТОДИЧЕСКИЕ РЕКОМЕНДАЦИИ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также размещены на официальном сайте Министерства и доступны для скачивания по ссылке: </w:t>
      </w:r>
      <w:r>
        <w:rPr>
          <w:sz w:val="20"/>
        </w:rPr>
        <w:t xml:space="preserve">http://www.rosmintrud.ru/ministry/programms/anticorruption/9/4</w:t>
      </w:r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М.А.ТОПИЛИН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bookmarkStart w:id="17" w:name="P17"/>
    <w:bookmarkEnd w:id="17"/>
    <w:p>
      <w:pPr>
        <w:pStyle w:val="0"/>
        <w:jc w:val="center"/>
      </w:pPr>
      <w:r>
        <w:rPr>
          <w:sz w:val="20"/>
        </w:rPr>
        <w:t xml:space="preserve">МЕТОДИЧЕСКИЕ РЕКОМЕНДАЦИИ</w:t>
      </w:r>
    </w:p>
    <w:p>
      <w:pPr>
        <w:pStyle w:val="0"/>
        <w:jc w:val="center"/>
      </w:pPr>
      <w:r>
        <w:rPr>
          <w:sz w:val="20"/>
        </w:rPr>
        <w:t xml:space="preserve">ПО ВОПРОСАМ СОБЛЮДЕНИЯ ОГРАНИЧЕНИЙ, НАЛАГАЕМЫХ</w:t>
      </w:r>
    </w:p>
    <w:p>
      <w:pPr>
        <w:pStyle w:val="0"/>
        <w:jc w:val="center"/>
      </w:pPr>
      <w:r>
        <w:rPr>
          <w:sz w:val="20"/>
        </w:rPr>
        <w:t xml:space="preserve">НА ГРАЖДАНИНА, ЗАМЕЩАВШЕГО ДОЛЖНОСТЬ ГОСУДАРСТВЕННОЙ</w:t>
      </w:r>
    </w:p>
    <w:p>
      <w:pPr>
        <w:pStyle w:val="0"/>
        <w:jc w:val="center"/>
      </w:pPr>
      <w:r>
        <w:rPr>
          <w:sz w:val="20"/>
        </w:rPr>
        <w:t xml:space="preserve">(МУНИЦИПАЛЬНОЙ) СЛУЖБЫ, ПРИ ЗАКЛЮЧЕНИИ ИМ ТРУДОВОГО</w:t>
      </w:r>
    </w:p>
    <w:p>
      <w:pPr>
        <w:pStyle w:val="0"/>
        <w:jc w:val="center"/>
      </w:pPr>
      <w:r>
        <w:rPr>
          <w:sz w:val="20"/>
        </w:rPr>
        <w:t xml:space="preserve">ИЛИ ГРАЖДАНСКО-ПРАВОВОГО ДОГОВОРА С ОРГАНИЗАЦИЕЙ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Методические рекомендации подготовлены в целях формирования единообразной практики применения </w:t>
      </w:r>
      <w:hyperlink w:history="0" r:id="rId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(далее - Федеральный закон N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Методические рекомендации ориентированы на следующих лиц: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гражданин - бывший государственный (муниципальный) служащий (далее также - гражданин)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службы, указанных в </w:t>
      </w:r>
      <w:hyperlink w:history="0" r:id="rId9" w:tooltip="Указ Президента РФ от 25.02.2011 N 233 (ред. от 25.01.2024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, отдельные должности федеральной государственной {КонсультантПлюс}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 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Условия, влекущие необходимость получения</w:t>
      </w:r>
    </w:p>
    <w:p>
      <w:pPr>
        <w:pStyle w:val="0"/>
        <w:jc w:val="center"/>
      </w:pPr>
      <w:r>
        <w:rPr>
          <w:sz w:val="20"/>
        </w:rPr>
        <w:t xml:space="preserve">гражданином - бывшим государственным (муниципальным)</w:t>
      </w:r>
    </w:p>
    <w:p>
      <w:pPr>
        <w:pStyle w:val="0"/>
        <w:jc w:val="center"/>
      </w:pPr>
      <w:r>
        <w:rPr>
          <w:sz w:val="20"/>
        </w:rPr>
        <w:t xml:space="preserve">служащим согласия комиссии по соблюдению требований</w:t>
      </w:r>
    </w:p>
    <w:p>
      <w:pPr>
        <w:pStyle w:val="0"/>
        <w:jc w:val="center"/>
      </w:pPr>
      <w:r>
        <w:rPr>
          <w:sz w:val="20"/>
        </w:rPr>
        <w:t xml:space="preserve">к служебному поведению государственных (муниципальных)</w:t>
      </w:r>
    </w:p>
    <w:p>
      <w:pPr>
        <w:pStyle w:val="0"/>
        <w:jc w:val="center"/>
      </w:pPr>
      <w:r>
        <w:rPr>
          <w:sz w:val="20"/>
        </w:rPr>
        <w:t xml:space="preserve">служащих и урегулированию конфликта интересов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нахождение должности, которую замещал гражданин, в перечне, установленном нормативными правовыми актами Российской Федерации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В соответствии с </w:t>
      </w:r>
      <w:hyperlink w:history="0" r:id="rId10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пунктом 3 статьи 1</w:t>
        </w:r>
      </w:hyperlink>
      <w:r>
        <w:rPr>
          <w:sz w:val="20"/>
        </w:rPr>
        <w:t xml:space="preserve"> Федерального закона "О 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законы и иные нормативные правовые акты органов государственной власти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муниципальные правовые акты.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 указанными в </w:t>
      </w:r>
      <w:hyperlink w:history="0" r:id="rId11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 12</w:t>
        </w:r>
      </w:hyperlink>
      <w:r>
        <w:rPr>
          <w:sz w:val="20"/>
        </w:rPr>
        <w:t xml:space="preserve"> Федерального закона N 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2" w:tooltip="Постановление Пленума Верховного Суда РФ от 28.11.2017 N 46 &quot;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&quot;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Так, перечень должностей федеральной государственной службы для целей </w:t>
      </w:r>
      <w:hyperlink w:history="0" r:id="rId13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N 273-ФЗ определен </w:t>
      </w:r>
      <w:hyperlink w:history="0" r:id="rId14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и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должности федеральной государственной службы, включенные в </w:t>
      </w:r>
      <w:hyperlink w:history="0" r:id="rId15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 I</w:t>
        </w:r>
      </w:hyperlink>
      <w:r>
        <w:rPr>
          <w:sz w:val="20"/>
        </w:rPr>
        <w:t xml:space="preserve"> или </w:t>
      </w:r>
      <w:hyperlink w:history="0" r:id="rId16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 II</w:t>
        </w:r>
      </w:hyperlink>
      <w:r>
        <w:rPr>
          <w:sz w:val="20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Указ N 557);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w:history="0" r:id="rId17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разделом III</w:t>
        </w:r>
      </w:hyperlink>
      <w:r>
        <w:rPr>
          <w:sz w:val="20"/>
        </w:rPr>
        <w:t xml:space="preserve"> перечня, утвержденного Указом N 557.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</w:t>
      </w:r>
      <w:hyperlink w:history="0" r:id="rId18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Указа N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</w:t>
      </w:r>
      <w:hyperlink w:history="0" r:id="rId19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w:history="0" r:id="rId20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N 273-ФЗ.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Принципиально важным для определения условий о распространении на гражданина ограничений, предусмотренных </w:t>
      </w:r>
      <w:hyperlink w:history="0" r:id="rId21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N 273-ФЗ, является установление факта нахождения должности, которую замещал гражданин по последнему месту службы, в соответствующем </w:t>
      </w:r>
      <w:hyperlink w:history="0" r:id="rId22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, установленном Указом N 557, правовыми актами федеральных государственных органов, государственных органов субъектов Российской Федерации, органов местного самоуправления. В этой связи указанные ограничения не распространяются на бывшего государственного (муниципального) служащего, если 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 &lt;4&gt;, в которую он трудоустраивается.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В соответствии с </w:t>
      </w:r>
      <w:hyperlink w:history="0" r:id="rId23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пунктом 4 статьи 1</w:t>
        </w:r>
      </w:hyperlink>
      <w:r>
        <w:rPr>
          <w:sz w:val="20"/>
        </w:rPr>
        <w:t xml:space="preserve">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случае, если в должностные обязанности по той должности, которую служащий замещал,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прошло менее двух лет со дня увольнения гражданина с государственной (муниципальной)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Период, в течение которого действуют установленные </w:t>
      </w:r>
      <w:hyperlink w:history="0" r:id="rId24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N 273-ФЗ ограничения, начинается со дня увольнения с государственной (муниципальной) службы и заканчивается через два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получении согласия комиссии осуществляется исходя из совокупности вышеуказанных условий.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Ограничения, предусмотренные </w:t>
      </w:r>
      <w:hyperlink w:history="0" r:id="rId25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N 273-ФЗ, распространяются на гражданина независимо от оснований его увольнения с государственной (муниципальной)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принятии решения о целесообразности получения согласия комиссии необходимо учитывать положения </w:t>
      </w:r>
      <w:hyperlink w:history="0" r:id="rId26" w:tooltip="Постановление Пленума Верховного Суда РФ от 28.11.2017 N 46 &quot;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&quot; {КонсультантПлюс}">
        <w:r>
          <w:rPr>
            <w:sz w:val="20"/>
            <w:color w:val="0000ff"/>
          </w:rPr>
          <w:t xml:space="preserve">пункта 5</w:t>
        </w:r>
      </w:hyperlink>
      <w:r>
        <w:rPr>
          <w:sz w:val="20"/>
        </w:rP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46), согласно которому трудоустройство гражданина - бывшего государственного (муниципального) служащего в другой государственный (муниципальный) орган, в том числе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</w:t>
      </w:r>
      <w:hyperlink w:history="0" r:id="rId27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N 273-ФЗ.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Порядок направления гражданином - бывшим</w:t>
      </w:r>
    </w:p>
    <w:p>
      <w:pPr>
        <w:pStyle w:val="0"/>
        <w:jc w:val="center"/>
      </w:pPr>
      <w:r>
        <w:rPr>
          <w:sz w:val="20"/>
        </w:rPr>
        <w:t xml:space="preserve">государственным (муниципальным) служащим обращения о даче</w:t>
      </w:r>
    </w:p>
    <w:p>
      <w:pPr>
        <w:pStyle w:val="0"/>
        <w:jc w:val="center"/>
      </w:pPr>
      <w:r>
        <w:rPr>
          <w:sz w:val="20"/>
        </w:rPr>
        <w:t xml:space="preserve">согласия на трудоустройство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Для федеральных государственных служащих соответствующий порядок обращения регламентирован </w:t>
      </w:r>
      <w:hyperlink w:history="0" r:id="rId28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</w:t>
      </w:r>
      <w:hyperlink w:history="0" r:id="rId29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пункту 8</w:t>
        </w:r>
      </w:hyperlink>
      <w:r>
        <w:rPr>
          <w:sz w:val="20"/>
        </w:rPr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</w:t>
      </w:r>
      <w:hyperlink w:history="0" r:id="rId30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Указом N 821</w:t>
        </w:r>
      </w:hyperlink>
      <w:r>
        <w:rPr>
          <w:sz w:val="20"/>
        </w:rPr>
        <w:t xml:space="preserve"> при разработке названных положений).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</w:t>
      </w:r>
      <w:hyperlink w:history="0" r:id="rId31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подпункт "б" пункта 16</w:t>
        </w:r>
      </w:hyperlink>
      <w:r>
        <w:rPr>
          <w:sz w:val="20"/>
        </w:rPr>
        <w:t xml:space="preserve"> Положения о комиссиях).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Обращение подается гражданином в подразделение кадровой службы государственного (муниципального) &lt;*&gt; органа по профилактике коррупционных и иных правонарушений (</w:t>
      </w:r>
      <w:hyperlink w:history="0" r:id="rId32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17.1</w:t>
        </w:r>
      </w:hyperlink>
      <w:r>
        <w:rPr>
          <w:sz w:val="20"/>
        </w:rPr>
        <w:t xml:space="preserve"> Положения о комиссиях). Обращение может быть направлено по почте с заказным уведомлением либо доставлено лично в государственный (муниципальный) &lt;*&gt;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обращении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фамилия, имя, отчество гражданина, дата его рождения, адрес места жительства;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замещаемые должности в течение последних двух лет до дня увольнения с государственной (муниципальной)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вид договора (трудовой или гражданско-правовой);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сумма оплаты за выполнение (оказание) по договору работ (услуг) (предполагаемая сумма в рублях в течение месяца);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обращение о намерении лично присутствовать на заседании комиссии (</w:t>
      </w:r>
      <w:hyperlink w:history="0" r:id="rId33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19</w:t>
        </w:r>
      </w:hyperlink>
      <w:r>
        <w:rPr>
          <w:sz w:val="20"/>
        </w:rPr>
        <w:t xml:space="preserve"> Положения о комиссиях).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За согласием на трудоустройство в комиссию может обратиться также государственный (муниципальный) служащий, планирующий свое увольнение (</w:t>
      </w:r>
      <w:hyperlink w:history="0" r:id="rId34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17.2</w:t>
        </w:r>
      </w:hyperlink>
      <w:r>
        <w:rPr>
          <w:sz w:val="20"/>
        </w:rPr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Порядок рассмотрения обращения гражданина - бывшего</w:t>
      </w:r>
    </w:p>
    <w:p>
      <w:pPr>
        <w:pStyle w:val="0"/>
        <w:jc w:val="center"/>
      </w:pPr>
      <w:r>
        <w:rPr>
          <w:sz w:val="20"/>
        </w:rPr>
        <w:t xml:space="preserve">государственного (муниципального) служащего о даче согласия</w:t>
      </w:r>
    </w:p>
    <w:p>
      <w:pPr>
        <w:pStyle w:val="0"/>
        <w:jc w:val="center"/>
      </w:pPr>
      <w:r>
        <w:rPr>
          <w:sz w:val="20"/>
        </w:rPr>
        <w:t xml:space="preserve">на трудоустройство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Первоначальное рассмотрение обращения осуществляется в подразделении кадровой службы государственного (муниципального) &lt;*&gt; органа по профилактике коррупционных и иных правонарушений (</w:t>
      </w:r>
      <w:hyperlink w:history="0" r:id="rId35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17.1</w:t>
        </w:r>
      </w:hyperlink>
      <w:r>
        <w:rPr>
          <w:sz w:val="20"/>
        </w:rPr>
        <w:t xml:space="preserve"> Положения о комиссиях). Указанное подразделение также осуществляет подготовку мотивированного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подготовке мотивированного заключения должностные лица кадрового подразделения государственного (муниципального) &lt;*&gt;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&lt;*&gt;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</w:t>
      </w:r>
      <w:hyperlink w:history="0" r:id="rId36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17.5</w:t>
        </w:r>
      </w:hyperlink>
      <w:r>
        <w:rPr>
          <w:sz w:val="20"/>
        </w:rPr>
        <w:t xml:space="preserve"> Положения о комиссиях).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Мотивированное заключение должно содержать (пункт 17.6 Положения о комиссиях):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информацию, изложенную в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информацию, полученную от государственных (муниципальных) органов и заинтересованных организаций на основании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мотивированный вывод, основанный на всестороннем анализе указанной информации, а также рекомендации для принятия одного из решений в соответствии с </w:t>
      </w:r>
      <w:hyperlink w:history="0" r:id="rId37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пунктом 24</w:t>
        </w:r>
      </w:hyperlink>
      <w:r>
        <w:rPr>
          <w:sz w:val="20"/>
        </w:rPr>
        <w:t xml:space="preserve"> Положения о комиссиях или иного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</w:t>
      </w:r>
      <w:hyperlink w:history="0" r:id="rId38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17.5</w:t>
        </w:r>
      </w:hyperlink>
      <w:r>
        <w:rPr>
          <w:sz w:val="20"/>
        </w:rPr>
        <w:t xml:space="preserve"> Положения о комиссиях).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ходе подготовки мотивированного заключения рекомендуется: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необходимости, по каким вопросам деятельности данной организации были приняты решения государственным (муниципальным) служащим. Например, в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лицензирования отдельных видов деятельности, выдачи разрешений на отдельные виды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размещения заказов на поставку товаров, выполнение работ и оказание услуг для государственных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регистрации имущества и сделок с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проведения государственной экспертизы и выдачи заключений;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осуществления государственного надзора и (или)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Круг трудовых обязанностей в организации, в которую планирует трудоустроиться гражданин, не может играть определяющую роль при принятии решения о даче согласия на трудоустройство в силу того, что круг трудовых обязанностей может быть изменен и необходимость повторного получения согласия комиссии в такой ситуации отсутствует. В этой связи особое внимание необходимо уделять связям гражданина - бывшего государственного (муниципального) служащего с организацией (имущественным, корпоративным или иным отношениям),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</w:t>
      </w:r>
      <w:hyperlink w:history="0" r:id="rId39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, установленном Указом N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подразделение кадровой службы государственного (муниципального) &lt;*&gt;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комиссии. Об этом необходимо проинформировать председателя комиссии и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</w:t>
      </w:r>
      <w:hyperlink w:history="0" r:id="rId40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18</w:t>
        </w:r>
      </w:hyperlink>
      <w:r>
        <w:rPr>
          <w:sz w:val="20"/>
        </w:rPr>
        <w:t xml:space="preserve"> Положения о комиссиях):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 &lt;*&gt;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</w:t>
      </w:r>
      <w:hyperlink w:history="0" r:id="rId41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подпункт "б" пункта 13</w:t>
        </w:r>
      </w:hyperlink>
      <w:r>
        <w:rPr>
          <w:sz w:val="20"/>
        </w:rPr>
        <w:t xml:space="preserve"> Положения о комиссиях).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Под информацией, содержащей основания для проведения заседания комиссии, понимается: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наличие соответствующего обращения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мотивированное заключение подразделения кадровой службы государственного (муниципального) &lt;*&gt;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возможности или невозможности дачи гражданину согласия на заключение трудового (гражданско-правового) договора с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Направление обращения в случае</w:t>
      </w:r>
    </w:p>
    <w:p>
      <w:pPr>
        <w:pStyle w:val="0"/>
        <w:jc w:val="center"/>
      </w:pPr>
      <w:r>
        <w:rPr>
          <w:sz w:val="20"/>
        </w:rPr>
        <w:t xml:space="preserve">упразднения государственного (муниципального) органа,</w:t>
      </w:r>
    </w:p>
    <w:p>
      <w:pPr>
        <w:pStyle w:val="0"/>
        <w:jc w:val="center"/>
      </w:pPr>
      <w:r>
        <w:rPr>
          <w:sz w:val="20"/>
        </w:rPr>
        <w:t xml:space="preserve">в котором гражданин замещал должность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w:history="0" r:id="rId42" w:tooltip="Указ Президента РФ от 02.02.2016 N 41 (ред. от 15.05.2018) &quot;О некоторых вопросах государственного контроля и надзора в финансово-бюджетной сфере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допустимо направлять в любой государственный (муниципальный) орган, который осуществляет функции упраздненного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случае,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При рассмотрении комиссией обращения гражданина анализируются, в том числе,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Согласно </w:t>
      </w:r>
      <w:hyperlink w:history="0" r:id="rId43" w:tooltip="Приказ Минкультуры России от 25.08.2010 N 558 (ред. от 16.02.2016) &quot;Об утверждении &quot;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&quot; (Зарегистрировано в Минюсте России 08.09.2010 N 18380) ------------ Утратил силу или отменен {КонсультантПлюс}">
        <w:r>
          <w:rPr>
            <w:sz w:val="20"/>
            <w:color w:val="0000ff"/>
          </w:rPr>
          <w:t xml:space="preserve">приказу</w:t>
        </w:r>
      </w:hyperlink>
      <w:r>
        <w:rPr>
          <w:sz w:val="20"/>
        </w:rPr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Исходя из положений </w:t>
      </w:r>
      <w:hyperlink w:history="0" r:id="rId44" w:tooltip="Федеральный закон от 22.10.2004 N 125-ФЗ (ред. от 25.12.2023) &quot;Об архивном деле в Российской Федерации&quot; {КонсультантПлюс}">
        <w:r>
          <w:rPr>
            <w:sz w:val="20"/>
            <w:color w:val="0000ff"/>
          </w:rPr>
          <w:t xml:space="preserve">статьи 5</w:t>
        </w:r>
      </w:hyperlink>
      <w:r>
        <w:rPr>
          <w:sz w:val="20"/>
        </w:rPr>
        <w:t xml:space="preserve"> 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 соответствии с </w:t>
      </w:r>
      <w:hyperlink w:history="0" r:id="rId45" w:tooltip="Федеральный закон от 22.10.2004 N 125-ФЗ (ред. от 25.12.2023) &quot;Об архивном деле в Российской Федерации&quot; {КонсультантПлюс}">
        <w:r>
          <w:rPr>
            <w:sz w:val="20"/>
            <w:color w:val="0000ff"/>
          </w:rPr>
          <w:t xml:space="preserve">частью 8 статьи 23</w:t>
        </w:r>
      </w:hyperlink>
      <w:r>
        <w:rPr>
          <w:sz w:val="20"/>
        </w:rPr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Рассмотрение обращения на заседании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33. Заседание комиссии проводится, как правило, в присутствии гражданина (</w:t>
      </w:r>
      <w:hyperlink w:history="0" r:id="rId46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19</w:t>
        </w:r>
      </w:hyperlink>
      <w:r>
        <w:rPr>
          <w:sz w:val="20"/>
        </w:rPr>
        <w:t xml:space="preserve"> Положения о комиссиях).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О намерении лично присутствовать на заседании комиссии гражданин указывает в обращении.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Заседания комиссии могут проводиться в отсутствие гражданина в случаях (</w:t>
      </w:r>
      <w:hyperlink w:history="0" r:id="rId47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19.1</w:t>
        </w:r>
      </w:hyperlink>
      <w:r>
        <w:rPr>
          <w:sz w:val="20"/>
        </w:rPr>
        <w:t xml:space="preserve"> Положения о комиссиях):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в обращении не содержится указания о намерении гражданина лично присутствовать на заседании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</w:t>
      </w:r>
      <w:hyperlink w:history="0" r:id="rId48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20</w:t>
        </w:r>
      </w:hyperlink>
      <w:r>
        <w:rPr>
          <w:sz w:val="20"/>
        </w:rPr>
        <w:t xml:space="preserve"> Положения о комиссиях).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</w:t>
      </w:r>
      <w:hyperlink w:history="0" r:id="rId49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1.1 статьи 12</w:t>
        </w:r>
      </w:hyperlink>
      <w:r>
        <w:rPr>
          <w:sz w:val="20"/>
        </w:rPr>
        <w:t xml:space="preserve"> Федерального закона N 273-ФЗ предусмотрена обязанность комиссии в порядке, установленном нормативными правовыми актами Российской Федерации,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По итогам рассмотрения обращения гражданина комиссия принимает одно из следующих решений (</w:t>
      </w:r>
      <w:hyperlink w:history="0" r:id="rId50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24</w:t>
        </w:r>
      </w:hyperlink>
      <w:r>
        <w:rPr>
          <w:sz w:val="20"/>
        </w:rPr>
        <w:t xml:space="preserve"> Положения о комиссиях):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</w:t>
      </w:r>
      <w:hyperlink w:history="0" r:id="rId51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37.1</w:t>
        </w:r>
      </w:hyperlink>
      <w:r>
        <w:rPr>
          <w:sz w:val="20"/>
        </w:rPr>
        <w:t xml:space="preserve"> Положения о комиссиях).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Принимая во внимание, что данными правоотношениями затрагивается предусмотренное </w:t>
      </w:r>
      <w:hyperlink w:history="0" r:id="rId5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статьей 37</w:t>
        </w:r>
      </w:hyperlink>
      <w:r>
        <w:rPr>
          <w:sz w:val="20"/>
        </w:rPr>
        <w:t xml:space="preserve">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организацией, предоставляется гражданину по его требованию.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Решение комиссии по итогам рассмотрения обращения гражданина носит обязательный характер (</w:t>
      </w:r>
      <w:hyperlink w:history="0" r:id="rId53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30</w:t>
        </w:r>
      </w:hyperlink>
      <w:r>
        <w:rPr>
          <w:sz w:val="20"/>
        </w:rPr>
        <w:t xml:space="preserve"> Положения о комиссиях).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Если гражданин не согласен с решением комиссии, он вправе обратиться в комиссию с просьбой о пересмотре этого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</w:t>
      </w:r>
      <w:hyperlink w:history="0" r:id="rId54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36</w:t>
        </w:r>
      </w:hyperlink>
      <w:r>
        <w:rPr>
          <w:sz w:val="20"/>
        </w:rPr>
        <w:t xml:space="preserve"> Положения о комиссиях).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Обязанность гражданина - бывшего</w:t>
      </w:r>
    </w:p>
    <w:p>
      <w:pPr>
        <w:pStyle w:val="0"/>
        <w:jc w:val="center"/>
      </w:pPr>
      <w:r>
        <w:rPr>
          <w:sz w:val="20"/>
        </w:rPr>
        <w:t xml:space="preserve">государственного (муниципального) служащего сообщать</w:t>
      </w:r>
    </w:p>
    <w:p>
      <w:pPr>
        <w:pStyle w:val="0"/>
        <w:jc w:val="center"/>
      </w:pPr>
      <w:r>
        <w:rPr>
          <w:sz w:val="20"/>
        </w:rPr>
        <w:t xml:space="preserve">работодателю о замещении им должности в государственном</w:t>
      </w:r>
    </w:p>
    <w:p>
      <w:pPr>
        <w:pStyle w:val="0"/>
        <w:jc w:val="center"/>
      </w:pPr>
      <w:r>
        <w:rPr>
          <w:sz w:val="20"/>
        </w:rPr>
        <w:t xml:space="preserve">(муниципальном) органе</w:t>
      </w:r>
    </w:p>
    <w:p>
      <w:pPr>
        <w:pStyle w:val="0"/>
        <w:jc w:val="both"/>
      </w:pPr>
      <w:r>
        <w:rPr>
          <w:sz w:val="20"/>
        </w:rPr>
      </w:r>
    </w:p>
    <w:bookmarkStart w:id="173" w:name="P173"/>
    <w:bookmarkEnd w:id="173"/>
    <w:p>
      <w:pPr>
        <w:pStyle w:val="0"/>
        <w:ind w:firstLine="540"/>
        <w:jc w:val="both"/>
      </w:pPr>
      <w:r>
        <w:rPr>
          <w:sz w:val="20"/>
        </w:rPr>
        <w:t xml:space="preserve">44. В соответствии с </w:t>
      </w:r>
      <w:hyperlink w:history="0" r:id="rId55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2 статьи 12</w:t>
        </w:r>
      </w:hyperlink>
      <w:r>
        <w:rPr>
          <w:sz w:val="20"/>
        </w:rPr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 В числе указанных сведений рекомендуется сообщать о замещаемой в течение предшествующих трудоустройству двух лет должности, включенной в перечень, установленный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Рекомендуется оформлять сообщение о последнем месте службы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Обязанность, указанная в </w:t>
      </w:r>
      <w:hyperlink w:history="0" w:anchor="P173" w:tooltip="44. В соответствии с частью 2 статьи 12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 В числе указанных сведений рекомендуется сообщать о замещаемой в течени...">
        <w:r>
          <w:rPr>
            <w:sz w:val="20"/>
            <w:color w:val="0000ff"/>
          </w:rPr>
          <w:t xml:space="preserve">абзаце первом пункта 44</w:t>
        </w:r>
      </w:hyperlink>
      <w:r>
        <w:rPr>
          <w:sz w:val="20"/>
        </w:rPr>
        <w:t xml:space="preserve">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w:history="0" r:id="rId56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пункту 11 части первой статьи 77</w:t>
        </w:r>
      </w:hyperlink>
      <w:r>
        <w:rPr>
          <w:sz w:val="20"/>
        </w:rPr>
        <w:t xml:space="preserve"> Трудового кодекса Российской Федерации (далее - ТК РФ), как заключенный в нарушение установленных </w:t>
      </w:r>
      <w:hyperlink w:history="0" r:id="rId57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ТК</w:t>
        </w:r>
      </w:hyperlink>
      <w:r>
        <w:rPr>
          <w:sz w:val="20"/>
        </w:rPr>
        <w:t xml:space="preserve">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w:history="0" r:id="rId58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абзац пятый части первой статьи 84</w:t>
        </w:r>
      </w:hyperlink>
      <w:r>
        <w:rPr>
          <w:sz w:val="20"/>
        </w:rPr>
        <w:t xml:space="preserve"> ТК РФ).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Последствия нарушения гражданином - бывшим</w:t>
      </w:r>
    </w:p>
    <w:p>
      <w:pPr>
        <w:pStyle w:val="0"/>
        <w:jc w:val="center"/>
      </w:pPr>
      <w:r>
        <w:rPr>
          <w:sz w:val="20"/>
        </w:rPr>
        <w:t xml:space="preserve">государственным (муниципальным) служащим обязанности</w:t>
      </w:r>
    </w:p>
    <w:p>
      <w:pPr>
        <w:pStyle w:val="0"/>
        <w:jc w:val="center"/>
      </w:pPr>
      <w:r>
        <w:rPr>
          <w:sz w:val="20"/>
        </w:rPr>
        <w:t xml:space="preserve">сообщать работодателю сведения о последнем месте</w:t>
      </w:r>
    </w:p>
    <w:p>
      <w:pPr>
        <w:pStyle w:val="0"/>
        <w:jc w:val="center"/>
      </w:pPr>
      <w:r>
        <w:rPr>
          <w:sz w:val="20"/>
        </w:rPr>
        <w:t xml:space="preserve">своей службы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48. В соответствии с </w:t>
      </w:r>
      <w:hyperlink w:history="0" r:id="rId59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3 статьи 12</w:t>
        </w:r>
      </w:hyperlink>
      <w:r>
        <w:rPr>
          <w:sz w:val="20"/>
        </w:rPr>
        <w:t xml:space="preserve"> Федерального закона N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IX. Обязанность работодателя сообщать о заключении</w:t>
      </w:r>
    </w:p>
    <w:p>
      <w:pPr>
        <w:pStyle w:val="0"/>
        <w:jc w:val="center"/>
      </w:pPr>
      <w:r>
        <w:rPr>
          <w:sz w:val="20"/>
        </w:rPr>
        <w:t xml:space="preserve">с гражданином - бывшим государственным (муниципальным)</w:t>
      </w:r>
    </w:p>
    <w:p>
      <w:pPr>
        <w:pStyle w:val="0"/>
        <w:jc w:val="center"/>
      </w:pPr>
      <w:r>
        <w:rPr>
          <w:sz w:val="20"/>
        </w:rPr>
        <w:t xml:space="preserve">служащим трудового (гражданско-правового) договора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50. В соответствии с </w:t>
      </w:r>
      <w:hyperlink w:history="0" r:id="rId60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N 273-ФЗ, а также </w:t>
      </w:r>
      <w:hyperlink w:history="0" r:id="rId61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статьей 64.1</w:t>
        </w:r>
      </w:hyperlink>
      <w:r>
        <w:rPr>
          <w:sz w:val="20"/>
        </w:rPr>
        <w:t xml:space="preserve">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Исходя из смысла </w:t>
      </w:r>
      <w:hyperlink w:history="0" r:id="rId62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N 273-ФЗ обязанность, предусмотренную </w:t>
      </w:r>
      <w:hyperlink w:history="0" r:id="rId63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4</w:t>
        </w:r>
      </w:hyperlink>
      <w:r>
        <w:rPr>
          <w:sz w:val="20"/>
        </w:rPr>
        <w:t xml:space="preserve"> названной статьи, несут организации независимо от их организационно-правовой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В случае, если на работу устраивается гражданин - бывший государственный (муниципальный) служащий, работодателю следует обратить внимание на следующее.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Выяснить у бывшего государственного (муниципального) служащего, включена ли замещаемая (замещаемые) ранее им должность (должности) на дату заключения трудового (гражданско-правового) договора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акты, утверждающие соответствующие перечни должностей, указаны в </w:t>
      </w:r>
      <w:hyperlink w:history="0" w:anchor="P44" w:tooltip="1) нахождение должности, которую замещал гражданин, в перечне, установленном нормативными правовыми актами Российской Федерации &lt;2&gt;.">
        <w:r>
          <w:rPr>
            <w:sz w:val="20"/>
            <w:color w:val="0000ff"/>
          </w:rPr>
          <w:t xml:space="preserve">подпункте 1 пункта 4</w:t>
        </w:r>
      </w:hyperlink>
      <w:r>
        <w:rPr>
          <w:sz w:val="20"/>
        </w:rPr>
        <w:t xml:space="preserve"> настоящих Методических рекомендаций.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после увольнения гражданина с государственной (муниципальной) службы прошло: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более двух лет - сообщать о заключении трудового (гражданско-правового) договора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</w:t>
      </w:r>
      <w:hyperlink w:history="0" r:id="rId64" w:tooltip="Постановление Правительства РФ от 21.01.2015 N 29 (ред. от 10.07.2020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</w:t>
      </w:r>
      <w:hyperlink w:history="0" r:id="rId65" w:tooltip="Постановление Правительства РФ от 21.01.2015 N 29 (ред. от 10.07.2020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Правил).</w:t>
      </w:r>
    </w:p>
    <w:bookmarkStart w:id="206" w:name="P206"/>
    <w:bookmarkEnd w:id="2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</w:t>
      </w:r>
      <w:hyperlink w:history="0" r:id="rId66" w:tooltip="Постановление Правительства РФ от 21.01.2015 N 29 (ред. от 10.07.2020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Правил):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гражданина (в случае, если фамилия, имя или отчество изменялись, указываются прежние);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число, месяц, год и место рождения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 организации (полное, а также сокращенное (при наличии).</w:t>
      </w:r>
    </w:p>
    <w:bookmarkStart w:id="211" w:name="P211"/>
    <w:bookmarkEnd w:id="2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В случае, если с гражданином заключен трудовой договор, наряду со сведениями, указанными в </w:t>
      </w:r>
      <w:hyperlink w:history="0" w:anchor="P206" w:tooltip="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">
        <w:r>
          <w:rPr>
            <w:sz w:val="20"/>
            <w:color w:val="0000ff"/>
          </w:rPr>
          <w:t xml:space="preserve">пункте 54</w:t>
        </w:r>
      </w:hyperlink>
      <w:r>
        <w:rPr>
          <w:sz w:val="20"/>
        </w:rPr>
        <w:t xml:space="preserve"> настоящих Методических рекомендаций, также указываются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и номер приказа (распоряжения) или иного решения работодателя, согласно которому гражданин принят на работу;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 учитывать, что предусмотренная </w:t>
      </w:r>
      <w:hyperlink w:history="0" r:id="rId67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N 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68" w:tooltip="Постановление Пленума Верховного Суда РФ от 28.11.2017 N 46 &quot;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&quot;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Пленума Верховного Суда Российской Федерации N 46.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56. В случае, если с гражданином заключен гражданско-правовой договор, наряду со сведениями, указанными в </w:t>
      </w:r>
      <w:hyperlink w:history="0" w:anchor="P206" w:tooltip="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">
        <w:r>
          <w:rPr>
            <w:sz w:val="20"/>
            <w:color w:val="0000ff"/>
          </w:rPr>
          <w:t xml:space="preserve">пунктах 54</w:t>
        </w:r>
      </w:hyperlink>
      <w:r>
        <w:rPr>
          <w:sz w:val="20"/>
        </w:rPr>
        <w:t xml:space="preserve"> - </w:t>
      </w:r>
      <w:hyperlink w:history="0" w:anchor="P211" w:tooltip="55. В случае, если с гражданином заключен трудовой договор, наряду со сведениями, указанными в пункте 54 настоящих Методических рекомендаций, также указываются следующие данные:">
        <w:r>
          <w:rPr>
            <w:sz w:val="20"/>
            <w:color w:val="0000ff"/>
          </w:rPr>
          <w:t xml:space="preserve">55</w:t>
        </w:r>
      </w:hyperlink>
      <w:r>
        <w:rPr>
          <w:sz w:val="20"/>
        </w:rPr>
        <w:t xml:space="preserve"> настоящих Методических рекомендаций, также указываются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и номер гражданско-правового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 гражданско-правового договора (сроки начала и окончания выполнения работ (оказания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предмет гражданско-правового договора (с кратким описанием работы (услуги) и ее результата);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стоимость работ (услуг) по гражданско-правовому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 </w:t>
      </w:r>
      <w:hyperlink w:history="0" w:anchor="P62" w:tooltip="&lt;4&gt; В соответствии с пунктом 4 статьи 1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...">
        <w:r>
          <w:rPr>
            <w:sz w:val="20"/>
            <w:color w:val="0000ff"/>
          </w:rPr>
          <w:t xml:space="preserve">&lt;4&gt;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дня, следующего за днем заключения договора с гражданином либо его фактического допущения к работе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69" w:tooltip="Постановление Пленума Верховного Суда РФ от 28.11.2017 N 46 &quot;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&quot; {КонсультантПлюс}">
        <w:r>
          <w:rPr>
            <w:sz w:val="20"/>
            <w:color w:val="0000ff"/>
          </w:rPr>
          <w:t xml:space="preserve">Пункт 9</w:t>
        </w:r>
      </w:hyperlink>
      <w:r>
        <w:rPr>
          <w:sz w:val="20"/>
        </w:rPr>
        <w:t xml:space="preserve"> Постановления Пленума Верховного Суда Российской Федерации N 46.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58. Работодатель вправе самостоятельно определить способ направления сообщения.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70" w:tooltip="Постановление Пленума Верховного Суда РФ от 28.11.2017 N 46 &quot;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&quot;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Постановления Пленума Верховного Суда Российской Федерации N 46.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X. Обязанность уведомления государственного</w:t>
      </w:r>
    </w:p>
    <w:p>
      <w:pPr>
        <w:pStyle w:val="0"/>
        <w:jc w:val="center"/>
      </w:pPr>
      <w:r>
        <w:rPr>
          <w:sz w:val="20"/>
        </w:rPr>
        <w:t xml:space="preserve">(муниципального) органа при трудоустройстве гражданина</w:t>
      </w:r>
    </w:p>
    <w:p>
      <w:pPr>
        <w:pStyle w:val="0"/>
        <w:jc w:val="center"/>
      </w:pPr>
      <w:r>
        <w:rPr>
          <w:sz w:val="20"/>
        </w:rPr>
        <w:t xml:space="preserve">в коммерческие (некоммерческие) организации</w:t>
      </w:r>
    </w:p>
    <w:p>
      <w:pPr>
        <w:pStyle w:val="0"/>
        <w:jc w:val="center"/>
      </w:pPr>
      <w:r>
        <w:rPr>
          <w:sz w:val="20"/>
        </w:rPr>
        <w:t xml:space="preserve">по совместительству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60. Согласно </w:t>
      </w:r>
      <w:hyperlink w:history="0" r:id="rId71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статье 60.1</w:t>
        </w:r>
      </w:hyperlink>
      <w:r>
        <w:rPr>
          <w:sz w:val="20"/>
        </w:rPr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(работодателю) по последнему месту его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В соответствии с </w:t>
      </w:r>
      <w:hyperlink w:history="0" r:id="rId72" w:tooltip="Постановление Правительства РФ от 21.01.2015 N 29 (ред. от 10.07.2020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числе,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Вместе с тем не является нарушением требований </w:t>
      </w:r>
      <w:hyperlink w:history="0" r:id="rId73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части 4 статьи 12</w:t>
        </w:r>
      </w:hyperlink>
      <w:r>
        <w:rPr>
          <w:sz w:val="20"/>
        </w:rPr>
        <w:t xml:space="preserve"> Федерального закона N 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74" w:tooltip="Постановление Пленума Верховного Суда РФ от 28.11.2017 N 46 &quot;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&quot; {КонсультантПлюс}">
        <w:r>
          <w:rPr>
            <w:sz w:val="20"/>
            <w:color w:val="0000ff"/>
          </w:rPr>
          <w:t xml:space="preserve">Пункт 6</w:t>
        </w:r>
      </w:hyperlink>
      <w:r>
        <w:rPr>
          <w:sz w:val="20"/>
        </w:rPr>
        <w:t xml:space="preserve"> Постановления Пленума Верховного Суда Российской Федерации N 46.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XI. Ответственность работодателя за неисполнение</w:t>
      </w:r>
    </w:p>
    <w:p>
      <w:pPr>
        <w:pStyle w:val="0"/>
        <w:jc w:val="center"/>
      </w:pPr>
      <w:r>
        <w:rPr>
          <w:sz w:val="20"/>
        </w:rPr>
        <w:t xml:space="preserve">обязанности сообщить о заключении с гражданином - бывшим</w:t>
      </w:r>
    </w:p>
    <w:p>
      <w:pPr>
        <w:pStyle w:val="0"/>
        <w:jc w:val="center"/>
      </w:pPr>
      <w:r>
        <w:rPr>
          <w:sz w:val="20"/>
        </w:rPr>
        <w:t xml:space="preserve">государственным (муниципальным) служащим трудового</w:t>
      </w:r>
    </w:p>
    <w:p>
      <w:pPr>
        <w:pStyle w:val="0"/>
        <w:jc w:val="center"/>
      </w:pPr>
      <w:r>
        <w:rPr>
          <w:sz w:val="20"/>
        </w:rPr>
        <w:t xml:space="preserve">(гражданско-правового) договора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65. В соответствии с </w:t>
      </w:r>
      <w:hyperlink w:history="0" r:id="rId75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5 статьи 12</w:t>
        </w:r>
      </w:hyperlink>
      <w:r>
        <w:rPr>
          <w:sz w:val="20"/>
        </w:rPr>
        <w:t xml:space="preserve"> 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</w:t>
      </w:r>
      <w:hyperlink w:history="0" r:id="rId76" w:tooltip="&quot;Кодекс Российской Федерации об административных правонарушениях&quot; от 30.12.2001 N 195-ФЗ (ред. от 22.06.2024) {КонсультантПлюс}">
        <w:r>
          <w:rPr>
            <w:sz w:val="20"/>
            <w:color w:val="0000ff"/>
          </w:rPr>
          <w:t xml:space="preserve">статьей 19.29</w:t>
        </w:r>
      </w:hyperlink>
      <w:r>
        <w:rPr>
          <w:sz w:val="20"/>
        </w:rPr>
        <w:t xml:space="preserve"> Кодекса Российской Федерации об административных правонарушениях (далее - КоАП РФ).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Такая ответственность предусмотрена </w:t>
      </w:r>
      <w:hyperlink w:history="0" r:id="rId77" w:tooltip="&quot;Кодекс Российской Федерации об административных правонарушениях&quot; от 30.12.2001 N 195-ФЗ (ред. от 22.06.2024) {КонсультантПлюс}">
        <w:r>
          <w:rPr>
            <w:sz w:val="20"/>
            <w:color w:val="0000ff"/>
          </w:rPr>
          <w:t xml:space="preserve">статьей 19.29</w:t>
        </w:r>
      </w:hyperlink>
      <w:r>
        <w:rPr>
          <w:sz w:val="20"/>
        </w:rPr>
        <w:t xml:space="preserve">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указанной </w:t>
      </w:r>
      <w:hyperlink w:history="0" r:id="rId78" w:tooltip="&quot;Кодекс Российской Федерации об административных правонарушениях&quot; от 30.12.2001 N 195-ФЗ (ред. от 22.06.2024) {КонсультантПлюс}">
        <w:r>
          <w:rPr>
            <w:sz w:val="20"/>
            <w:color w:val="0000ff"/>
          </w:rPr>
          <w:t xml:space="preserve">статье</w:t>
        </w:r>
      </w:hyperlink>
      <w:r>
        <w:rPr>
          <w:sz w:val="20"/>
        </w:rPr>
        <w:t xml:space="preserve">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w:history="0" r:id="rId79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273-ФЗ, - влечет наложение административного штрафа: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граждан в размере от двух тысяч до четырех тысяч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должностных лиц - от двадцати тысяч до пятидесяти тысяч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юридических лиц - от ста тысяч до пятисот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Согласно </w:t>
      </w:r>
      <w:hyperlink w:history="0" r:id="rId80" w:tooltip="Постановление Пленума Верховного Суда РФ от 28.11.2017 N 46 &quot;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&quot; {КонсультантПлюс}">
        <w:r>
          <w:rPr>
            <w:sz w:val="20"/>
            <w:color w:val="0000ff"/>
          </w:rPr>
          <w:t xml:space="preserve">Постановлению</w:t>
        </w:r>
      </w:hyperlink>
      <w:r>
        <w:rPr>
          <w:sz w:val="20"/>
        </w:rPr>
        <w:t xml:space="preserve"> Пленума Верховного Суда Российской Федерации N 46, объективная сторона состава рассматриваемого административного правонарушения выражается в нарушении требований </w:t>
      </w:r>
      <w:hyperlink w:history="0" r:id="rId81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части 4 статьи 12</w:t>
        </w:r>
      </w:hyperlink>
      <w:r>
        <w:rPr>
          <w:sz w:val="20"/>
        </w:rPr>
        <w:t xml:space="preserve"> Федерального закона N 273-ФЗ.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Данные нарушения могут, в том числе, состоять в том,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w:history="0" r:id="rId82" w:tooltip="&quot;Кодекс Российской Федерации об административных правонарушениях&quot; от 30.12.2001 N 195-ФЗ (ред. от 22.06.2024) {КонсультантПлюс}">
        <w:r>
          <w:rPr>
            <w:sz w:val="20"/>
            <w:color w:val="0000ff"/>
          </w:rPr>
          <w:t xml:space="preserve">статьей 19.29</w:t>
        </w:r>
      </w:hyperlink>
      <w:r>
        <w:rPr>
          <w:sz w:val="20"/>
        </w:rPr>
        <w:t xml:space="preserve"> КоАП РФ.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Ограничения и обязанности, предусмотренные </w:t>
      </w:r>
      <w:hyperlink w:history="0" r:id="rId83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84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2 статьи 12</w:t>
        </w:r>
      </w:hyperlink>
      <w:r>
        <w:rPr>
          <w:sz w:val="20"/>
        </w:rPr>
        <w:t xml:space="preserve"> Федерального закона N 273-ФЗ, налагаются на гражданина -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w:history="0" r:id="rId85" w:tooltip="&quot;Кодекс Российской Федерации об административных правонарушениях&quot; от 30.12.2001 N 195-ФЗ (ред. от 22.06.2024) {КонсультантПлюс}">
        <w:r>
          <w:rPr>
            <w:sz w:val="20"/>
            <w:color w:val="0000ff"/>
          </w:rPr>
          <w:t xml:space="preserve">статье 19.29</w:t>
        </w:r>
      </w:hyperlink>
      <w:r>
        <w:rPr>
          <w:sz w:val="20"/>
        </w:rPr>
        <w:t xml:space="preserve"> КоАП РФ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86" w:tooltip="Постановление Пленума Верховного Суда РФ от 28.11.2017 N 46 &quot;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&quot;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Пленума Верховного Суда Российской Федерации N 46.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XII. Рассмотрение сообщения работодателя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71.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&lt;*&gt;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w:history="0" r:id="rId87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N 273-ФЗ (</w:t>
      </w:r>
      <w:hyperlink w:history="0" r:id="rId88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17.3</w:t>
        </w:r>
      </w:hyperlink>
      <w:r>
        <w:rPr>
          <w:sz w:val="20"/>
        </w:rPr>
        <w:t xml:space="preserve"> Положения о комиссиях).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По итогам подготовки мотивированного заключения подразделением кадровой службы государственного (муниципального) &lt;*&gt; органа по профилактике коррупционных и иных правонарушений председателем комиссии принимается обоснованное решение о вынесении либо невынесении вопроса о рассмотрении уведомления на заседание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Основанием для проведения заседания комиссии является поступившее в государственный (муниципальный) орган уведомление при следующих условиях (</w:t>
      </w:r>
      <w:hyperlink w:history="0" r:id="rId89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подпункт "д" пункта 16</w:t>
        </w:r>
      </w:hyperlink>
      <w:r>
        <w:rPr>
          <w:sz w:val="20"/>
        </w:rPr>
        <w:t xml:space="preserve"> Положения о комиссиях):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Если ранее вопрос о даче согласия гражданину рассматривался и такое согласие комиссией было дано либо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то рассмотрение уведомления не выносится на заседание комиссии. При этом подразделению кадровой службы государственного (муниципального) &lt;*&gt; органа по профилактике коррупционных и иных правонарушений необходимо проинформировать об этом председателя комиссии и нового работодателя.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Уведомление работодателя рассматривается в том же порядке, что и обращение гражданина (</w:t>
      </w:r>
      <w:hyperlink w:history="0" r:id="rId90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пункты 17.5</w:t>
        </w:r>
      </w:hyperlink>
      <w:r>
        <w:rPr>
          <w:sz w:val="20"/>
        </w:rPr>
        <w:t xml:space="preserve"> и </w:t>
      </w:r>
      <w:hyperlink w:history="0" r:id="rId91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17.6</w:t>
        </w:r>
      </w:hyperlink>
      <w:r>
        <w:rPr>
          <w:sz w:val="20"/>
        </w:rPr>
        <w:t xml:space="preserve"> Положения о комиссиях).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</w:t>
      </w:r>
      <w:hyperlink w:history="0" r:id="rId92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26.1</w:t>
        </w:r>
      </w:hyperlink>
      <w:r>
        <w:rPr>
          <w:sz w:val="20"/>
        </w:rPr>
        <w:t xml:space="preserve"> Положения о комиссиях):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w:history="0" r:id="rId93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государственным (муниципальным) служащим не позднее 10 дней после его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78. 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необходимо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w:history="0" r:id="rId94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пункт 33</w:t>
        </w:r>
      </w:hyperlink>
      <w:r>
        <w:rPr>
          <w:sz w:val="20"/>
        </w:rPr>
        <w:t xml:space="preserve"> Положения о комиссиях).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79.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XIII. Осуществление проверки соблюдения</w:t>
      </w:r>
    </w:p>
    <w:p>
      <w:pPr>
        <w:pStyle w:val="0"/>
        <w:jc w:val="center"/>
      </w:pPr>
      <w:r>
        <w:rPr>
          <w:sz w:val="20"/>
        </w:rPr>
        <w:t xml:space="preserve">гражданином - бывшим государственным (муниципальным)</w:t>
      </w:r>
    </w:p>
    <w:p>
      <w:pPr>
        <w:pStyle w:val="0"/>
        <w:jc w:val="center"/>
      </w:pPr>
      <w:r>
        <w:rPr>
          <w:sz w:val="20"/>
        </w:rPr>
        <w:t xml:space="preserve">служащим ограничений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80. В соответствии с </w:t>
      </w:r>
      <w:hyperlink w:history="0" r:id="rId95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6 статьи 12</w:t>
        </w:r>
      </w:hyperlink>
      <w:r>
        <w:rPr>
          <w:sz w:val="20"/>
        </w:rPr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81. Предусмотренное </w:t>
      </w:r>
      <w:hyperlink w:history="0" r:id="rId96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82.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&lt;*&gt; органов по профилактике коррупционных и иных правонарушений (</w:t>
      </w:r>
      <w:hyperlink w:history="0" r:id="rId97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<w:r>
          <w:rPr>
            <w:sz w:val="20"/>
            <w:color w:val="0000ff"/>
          </w:rPr>
          <w:t xml:space="preserve">подпункт "ж" пункта 6</w:t>
        </w:r>
      </w:hyperlink>
      <w:r>
        <w:rPr>
          <w:sz w:val="20"/>
        </w:rPr>
        <w:t xml:space="preserve"> Типового положения о подразделении федерального государственного органа по профилактике коррупционных и иных правонарушений и </w:t>
      </w:r>
      <w:hyperlink w:history="0" r:id="rId98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<w:r>
          <w:rPr>
            <w:sz w:val="20"/>
            <w:color w:val="0000ff"/>
          </w:rPr>
          <w:t xml:space="preserve">подпункт "з" пункта 7</w:t>
        </w:r>
      </w:hyperlink>
      <w:r>
        <w:rPr>
          <w:sz w:val="20"/>
        </w:rPr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83. В случае получения в ходе проверки объективных данных о нарушении ограничений, установленных </w:t>
      </w:r>
      <w:hyperlink w:history="0" r:id="rId99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N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Минтруда России от 11.05.2017 N 18-4/10/П-2943</w:t>
            <w:br/>
            <w:t>&lt;О направлении Методических рекомендаций по вопросам соблюдения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96138&amp;dst=100070" TargetMode = "External"/>
	<Relationship Id="rId8" Type="http://schemas.openxmlformats.org/officeDocument/2006/relationships/hyperlink" Target="https://login.consultant.ru/link/?req=doc&amp;base=LAW&amp;n=464894&amp;dst=28" TargetMode = "External"/>
	<Relationship Id="rId9" Type="http://schemas.openxmlformats.org/officeDocument/2006/relationships/hyperlink" Target="https://login.consultant.ru/link/?req=doc&amp;base=LAW&amp;n=468064&amp;dst=100013" TargetMode = "External"/>
	<Relationship Id="rId10" Type="http://schemas.openxmlformats.org/officeDocument/2006/relationships/hyperlink" Target="https://login.consultant.ru/link/?req=doc&amp;base=LAW&amp;n=464894&amp;dst=2" TargetMode = "External"/>
	<Relationship Id="rId11" Type="http://schemas.openxmlformats.org/officeDocument/2006/relationships/hyperlink" Target="https://login.consultant.ru/link/?req=doc&amp;base=LAW&amp;n=464894&amp;dst=28" TargetMode = "External"/>
	<Relationship Id="rId12" Type="http://schemas.openxmlformats.org/officeDocument/2006/relationships/hyperlink" Target="https://login.consultant.ru/link/?req=doc&amp;base=LAW&amp;n=283726&amp;dst=100011" TargetMode = "External"/>
	<Relationship Id="rId13" Type="http://schemas.openxmlformats.org/officeDocument/2006/relationships/hyperlink" Target="https://login.consultant.ru/link/?req=doc&amp;base=LAW&amp;n=464894&amp;dst=28" TargetMode = "External"/>
	<Relationship Id="rId14" Type="http://schemas.openxmlformats.org/officeDocument/2006/relationships/hyperlink" Target="https://login.consultant.ru/link/?req=doc&amp;base=LAW&amp;n=102793" TargetMode = "External"/>
	<Relationship Id="rId15" Type="http://schemas.openxmlformats.org/officeDocument/2006/relationships/hyperlink" Target="https://login.consultant.ru/link/?req=doc&amp;base=LAW&amp;n=470822&amp;dst=100017" TargetMode = "External"/>
	<Relationship Id="rId16" Type="http://schemas.openxmlformats.org/officeDocument/2006/relationships/hyperlink" Target="https://login.consultant.ru/link/?req=doc&amp;base=LAW&amp;n=470822&amp;dst=100021" TargetMode = "External"/>
	<Relationship Id="rId17" Type="http://schemas.openxmlformats.org/officeDocument/2006/relationships/hyperlink" Target="https://login.consultant.ru/link/?req=doc&amp;base=LAW&amp;n=470822&amp;dst=100168" TargetMode = "External"/>
	<Relationship Id="rId18" Type="http://schemas.openxmlformats.org/officeDocument/2006/relationships/hyperlink" Target="https://login.consultant.ru/link/?req=doc&amp;base=LAW&amp;n=102793&amp;dst=100012" TargetMode = "External"/>
	<Relationship Id="rId19" Type="http://schemas.openxmlformats.org/officeDocument/2006/relationships/hyperlink" Target="https://login.consultant.ru/link/?req=doc&amp;base=LAW&amp;n=102793" TargetMode = "External"/>
	<Relationship Id="rId20" Type="http://schemas.openxmlformats.org/officeDocument/2006/relationships/hyperlink" Target="https://login.consultant.ru/link/?req=doc&amp;base=LAW&amp;n=464894&amp;dst=28" TargetMode = "External"/>
	<Relationship Id="rId21" Type="http://schemas.openxmlformats.org/officeDocument/2006/relationships/hyperlink" Target="https://login.consultant.ru/link/?req=doc&amp;base=LAW&amp;n=464894&amp;dst=28" TargetMode = "External"/>
	<Relationship Id="rId22" Type="http://schemas.openxmlformats.org/officeDocument/2006/relationships/hyperlink" Target="https://login.consultant.ru/link/?req=doc&amp;base=LAW&amp;n=470822&amp;dst=100215" TargetMode = "External"/>
	<Relationship Id="rId23" Type="http://schemas.openxmlformats.org/officeDocument/2006/relationships/hyperlink" Target="https://login.consultant.ru/link/?req=doc&amp;base=LAW&amp;n=464894&amp;dst=6" TargetMode = "External"/>
	<Relationship Id="rId24" Type="http://schemas.openxmlformats.org/officeDocument/2006/relationships/hyperlink" Target="https://login.consultant.ru/link/?req=doc&amp;base=LAW&amp;n=464894&amp;dst=28" TargetMode = "External"/>
	<Relationship Id="rId25" Type="http://schemas.openxmlformats.org/officeDocument/2006/relationships/hyperlink" Target="https://login.consultant.ru/link/?req=doc&amp;base=LAW&amp;n=464894&amp;dst=28" TargetMode = "External"/>
	<Relationship Id="rId26" Type="http://schemas.openxmlformats.org/officeDocument/2006/relationships/hyperlink" Target="https://login.consultant.ru/link/?req=doc&amp;base=LAW&amp;n=283726&amp;dst=100013" TargetMode = "External"/>
	<Relationship Id="rId27" Type="http://schemas.openxmlformats.org/officeDocument/2006/relationships/hyperlink" Target="https://login.consultant.ru/link/?req=doc&amp;base=LAW&amp;n=464894&amp;dst=28" TargetMode = "External"/>
	<Relationship Id="rId28" Type="http://schemas.openxmlformats.org/officeDocument/2006/relationships/hyperlink" Target="https://login.consultant.ru/link/?req=doc&amp;base=LAW&amp;n=468056&amp;dst=100053" TargetMode = "External"/>
	<Relationship Id="rId29" Type="http://schemas.openxmlformats.org/officeDocument/2006/relationships/hyperlink" Target="https://login.consultant.ru/link/?req=doc&amp;base=LAW&amp;n=468056&amp;dst=100045" TargetMode = "External"/>
	<Relationship Id="rId30" Type="http://schemas.openxmlformats.org/officeDocument/2006/relationships/hyperlink" Target="https://login.consultant.ru/link/?req=doc&amp;base=LAW&amp;n=468056" TargetMode = "External"/>
	<Relationship Id="rId31" Type="http://schemas.openxmlformats.org/officeDocument/2006/relationships/hyperlink" Target="https://login.consultant.ru/link/?req=doc&amp;base=LAW&amp;n=468056&amp;dst=100084" TargetMode = "External"/>
	<Relationship Id="rId32" Type="http://schemas.openxmlformats.org/officeDocument/2006/relationships/hyperlink" Target="https://login.consultant.ru/link/?req=doc&amp;base=LAW&amp;n=468056&amp;dst=100154" TargetMode = "External"/>
	<Relationship Id="rId33" Type="http://schemas.openxmlformats.org/officeDocument/2006/relationships/hyperlink" Target="https://login.consultant.ru/link/?req=doc&amp;base=LAW&amp;n=468056&amp;dst=100160" TargetMode = "External"/>
	<Relationship Id="rId34" Type="http://schemas.openxmlformats.org/officeDocument/2006/relationships/hyperlink" Target="https://login.consultant.ru/link/?req=doc&amp;base=LAW&amp;n=468056&amp;dst=3" TargetMode = "External"/>
	<Relationship Id="rId35" Type="http://schemas.openxmlformats.org/officeDocument/2006/relationships/hyperlink" Target="https://login.consultant.ru/link/?req=doc&amp;base=LAW&amp;n=468056&amp;dst=100154" TargetMode = "External"/>
	<Relationship Id="rId36" Type="http://schemas.openxmlformats.org/officeDocument/2006/relationships/hyperlink" Target="https://login.consultant.ru/link/?req=doc&amp;base=LAW&amp;n=468056&amp;dst=100157" TargetMode = "External"/>
	<Relationship Id="rId37" Type="http://schemas.openxmlformats.org/officeDocument/2006/relationships/hyperlink" Target="https://login.consultant.ru/link/?req=doc&amp;base=LAW&amp;n=468056&amp;dst=100102" TargetMode = "External"/>
	<Relationship Id="rId38" Type="http://schemas.openxmlformats.org/officeDocument/2006/relationships/hyperlink" Target="https://login.consultant.ru/link/?req=doc&amp;base=LAW&amp;n=468056&amp;dst=100157" TargetMode = "External"/>
	<Relationship Id="rId39" Type="http://schemas.openxmlformats.org/officeDocument/2006/relationships/hyperlink" Target="https://login.consultant.ru/link/?req=doc&amp;base=LAW&amp;n=470822&amp;dst=100215" TargetMode = "External"/>
	<Relationship Id="rId40" Type="http://schemas.openxmlformats.org/officeDocument/2006/relationships/hyperlink" Target="https://login.consultant.ru/link/?req=doc&amp;base=LAW&amp;n=468056&amp;dst=100089" TargetMode = "External"/>
	<Relationship Id="rId41" Type="http://schemas.openxmlformats.org/officeDocument/2006/relationships/hyperlink" Target="https://login.consultant.ru/link/?req=doc&amp;base=LAW&amp;n=468056&amp;dst=100077" TargetMode = "External"/>
	<Relationship Id="rId42" Type="http://schemas.openxmlformats.org/officeDocument/2006/relationships/hyperlink" Target="https://login.consultant.ru/link/?req=doc&amp;base=LAW&amp;n=298052" TargetMode = "External"/>
	<Relationship Id="rId43" Type="http://schemas.openxmlformats.org/officeDocument/2006/relationships/hyperlink" Target="https://login.consultant.ru/link/?req=doc&amp;base=LAW&amp;n=195394" TargetMode = "External"/>
	<Relationship Id="rId44" Type="http://schemas.openxmlformats.org/officeDocument/2006/relationships/hyperlink" Target="https://login.consultant.ru/link/?req=doc&amp;base=LAW&amp;n=465535&amp;dst=100062" TargetMode = "External"/>
	<Relationship Id="rId45" Type="http://schemas.openxmlformats.org/officeDocument/2006/relationships/hyperlink" Target="https://login.consultant.ru/link/?req=doc&amp;base=LAW&amp;n=465535&amp;dst=100169" TargetMode = "External"/>
	<Relationship Id="rId46" Type="http://schemas.openxmlformats.org/officeDocument/2006/relationships/hyperlink" Target="https://login.consultant.ru/link/?req=doc&amp;base=LAW&amp;n=468056&amp;dst=100160" TargetMode = "External"/>
	<Relationship Id="rId47" Type="http://schemas.openxmlformats.org/officeDocument/2006/relationships/hyperlink" Target="https://login.consultant.ru/link/?req=doc&amp;base=LAW&amp;n=468056&amp;dst=100161" TargetMode = "External"/>
	<Relationship Id="rId48" Type="http://schemas.openxmlformats.org/officeDocument/2006/relationships/hyperlink" Target="https://login.consultant.ru/link/?req=doc&amp;base=LAW&amp;n=468056&amp;dst=9" TargetMode = "External"/>
	<Relationship Id="rId49" Type="http://schemas.openxmlformats.org/officeDocument/2006/relationships/hyperlink" Target="https://login.consultant.ru/link/?req=doc&amp;base=LAW&amp;n=464894&amp;dst=30" TargetMode = "External"/>
	<Relationship Id="rId50" Type="http://schemas.openxmlformats.org/officeDocument/2006/relationships/hyperlink" Target="https://login.consultant.ru/link/?req=doc&amp;base=LAW&amp;n=468056&amp;dst=100102" TargetMode = "External"/>
	<Relationship Id="rId51" Type="http://schemas.openxmlformats.org/officeDocument/2006/relationships/hyperlink" Target="https://login.consultant.ru/link/?req=doc&amp;base=LAW&amp;n=468056&amp;dst=13" TargetMode = "External"/>
	<Relationship Id="rId52" Type="http://schemas.openxmlformats.org/officeDocument/2006/relationships/hyperlink" Target="https://login.consultant.ru/link/?req=doc&amp;base=LAW&amp;n=2875&amp;dst=100141" TargetMode = "External"/>
	<Relationship Id="rId53" Type="http://schemas.openxmlformats.org/officeDocument/2006/relationships/hyperlink" Target="https://login.consultant.ru/link/?req=doc&amp;base=LAW&amp;n=468056&amp;dst=100113" TargetMode = "External"/>
	<Relationship Id="rId54" Type="http://schemas.openxmlformats.org/officeDocument/2006/relationships/hyperlink" Target="https://login.consultant.ru/link/?req=doc&amp;base=LAW&amp;n=468056&amp;dst=100128" TargetMode = "External"/>
	<Relationship Id="rId55" Type="http://schemas.openxmlformats.org/officeDocument/2006/relationships/hyperlink" Target="https://login.consultant.ru/link/?req=doc&amp;base=LAW&amp;n=464894&amp;dst=31" TargetMode = "External"/>
	<Relationship Id="rId56" Type="http://schemas.openxmlformats.org/officeDocument/2006/relationships/hyperlink" Target="https://login.consultant.ru/link/?req=doc&amp;base=LAW&amp;n=474024&amp;dst=487" TargetMode = "External"/>
	<Relationship Id="rId57" Type="http://schemas.openxmlformats.org/officeDocument/2006/relationships/hyperlink" Target="https://login.consultant.ru/link/?req=doc&amp;base=LAW&amp;n=474024" TargetMode = "External"/>
	<Relationship Id="rId58" Type="http://schemas.openxmlformats.org/officeDocument/2006/relationships/hyperlink" Target="https://login.consultant.ru/link/?req=doc&amp;base=LAW&amp;n=474024&amp;dst=102420" TargetMode = "External"/>
	<Relationship Id="rId59" Type="http://schemas.openxmlformats.org/officeDocument/2006/relationships/hyperlink" Target="https://login.consultant.ru/link/?req=doc&amp;base=LAW&amp;n=464894&amp;dst=32" TargetMode = "External"/>
	<Relationship Id="rId60" Type="http://schemas.openxmlformats.org/officeDocument/2006/relationships/hyperlink" Target="https://login.consultant.ru/link/?req=doc&amp;base=LAW&amp;n=464894&amp;dst=33" TargetMode = "External"/>
	<Relationship Id="rId61" Type="http://schemas.openxmlformats.org/officeDocument/2006/relationships/hyperlink" Target="https://login.consultant.ru/link/?req=doc&amp;base=LAW&amp;n=474024&amp;dst=1713" TargetMode = "External"/>
	<Relationship Id="rId62" Type="http://schemas.openxmlformats.org/officeDocument/2006/relationships/hyperlink" Target="https://login.consultant.ru/link/?req=doc&amp;base=LAW&amp;n=464894&amp;dst=28" TargetMode = "External"/>
	<Relationship Id="rId63" Type="http://schemas.openxmlformats.org/officeDocument/2006/relationships/hyperlink" Target="https://login.consultant.ru/link/?req=doc&amp;base=LAW&amp;n=464894&amp;dst=33" TargetMode = "External"/>
	<Relationship Id="rId64" Type="http://schemas.openxmlformats.org/officeDocument/2006/relationships/hyperlink" Target="https://login.consultant.ru/link/?req=doc&amp;base=LAW&amp;n=357696&amp;dst=100009" TargetMode = "External"/>
	<Relationship Id="rId65" Type="http://schemas.openxmlformats.org/officeDocument/2006/relationships/hyperlink" Target="https://login.consultant.ru/link/?req=doc&amp;base=LAW&amp;n=357696&amp;dst=100030" TargetMode = "External"/>
	<Relationship Id="rId66" Type="http://schemas.openxmlformats.org/officeDocument/2006/relationships/hyperlink" Target="https://login.consultant.ru/link/?req=doc&amp;base=LAW&amp;n=357696&amp;dst=100014" TargetMode = "External"/>
	<Relationship Id="rId67" Type="http://schemas.openxmlformats.org/officeDocument/2006/relationships/hyperlink" Target="https://login.consultant.ru/link/?req=doc&amp;base=LAW&amp;n=464894&amp;dst=33" TargetMode = "External"/>
	<Relationship Id="rId68" Type="http://schemas.openxmlformats.org/officeDocument/2006/relationships/hyperlink" Target="https://login.consultant.ru/link/?req=doc&amp;base=LAW&amp;n=283726&amp;dst=100009" TargetMode = "External"/>
	<Relationship Id="rId69" Type="http://schemas.openxmlformats.org/officeDocument/2006/relationships/hyperlink" Target="https://login.consultant.ru/link/?req=doc&amp;base=LAW&amp;n=283726&amp;dst=100022" TargetMode = "External"/>
	<Relationship Id="rId70" Type="http://schemas.openxmlformats.org/officeDocument/2006/relationships/hyperlink" Target="https://login.consultant.ru/link/?req=doc&amp;base=LAW&amp;n=283726&amp;dst=100024" TargetMode = "External"/>
	<Relationship Id="rId71" Type="http://schemas.openxmlformats.org/officeDocument/2006/relationships/hyperlink" Target="https://login.consultant.ru/link/?req=doc&amp;base=LAW&amp;n=474024&amp;dst=394" TargetMode = "External"/>
	<Relationship Id="rId72" Type="http://schemas.openxmlformats.org/officeDocument/2006/relationships/hyperlink" Target="https://login.consultant.ru/link/?req=doc&amp;base=LAW&amp;n=357696&amp;dst=100009" TargetMode = "External"/>
	<Relationship Id="rId73" Type="http://schemas.openxmlformats.org/officeDocument/2006/relationships/hyperlink" Target="https://login.consultant.ru/link/?req=doc&amp;base=LAW&amp;n=464894&amp;dst=33" TargetMode = "External"/>
	<Relationship Id="rId74" Type="http://schemas.openxmlformats.org/officeDocument/2006/relationships/hyperlink" Target="https://login.consultant.ru/link/?req=doc&amp;base=LAW&amp;n=283726&amp;dst=100015" TargetMode = "External"/>
	<Relationship Id="rId75" Type="http://schemas.openxmlformats.org/officeDocument/2006/relationships/hyperlink" Target="https://login.consultant.ru/link/?req=doc&amp;base=LAW&amp;n=464894&amp;dst=100109" TargetMode = "External"/>
	<Relationship Id="rId76" Type="http://schemas.openxmlformats.org/officeDocument/2006/relationships/hyperlink" Target="https://login.consultant.ru/link/?req=doc&amp;base=LAW&amp;n=479355&amp;dst=3080" TargetMode = "External"/>
	<Relationship Id="rId77" Type="http://schemas.openxmlformats.org/officeDocument/2006/relationships/hyperlink" Target="https://login.consultant.ru/link/?req=doc&amp;base=LAW&amp;n=479355&amp;dst=3080" TargetMode = "External"/>
	<Relationship Id="rId78" Type="http://schemas.openxmlformats.org/officeDocument/2006/relationships/hyperlink" Target="https://login.consultant.ru/link/?req=doc&amp;base=LAW&amp;n=479355&amp;dst=3080" TargetMode = "External"/>
	<Relationship Id="rId79" Type="http://schemas.openxmlformats.org/officeDocument/2006/relationships/hyperlink" Target="https://login.consultant.ru/link/?req=doc&amp;base=LAW&amp;n=464894" TargetMode = "External"/>
	<Relationship Id="rId80" Type="http://schemas.openxmlformats.org/officeDocument/2006/relationships/hyperlink" Target="https://login.consultant.ru/link/?req=doc&amp;base=LAW&amp;n=283726" TargetMode = "External"/>
	<Relationship Id="rId81" Type="http://schemas.openxmlformats.org/officeDocument/2006/relationships/hyperlink" Target="https://login.consultant.ru/link/?req=doc&amp;base=LAW&amp;n=464894&amp;dst=33" TargetMode = "External"/>
	<Relationship Id="rId82" Type="http://schemas.openxmlformats.org/officeDocument/2006/relationships/hyperlink" Target="https://login.consultant.ru/link/?req=doc&amp;base=LAW&amp;n=479355&amp;dst=3080" TargetMode = "External"/>
	<Relationship Id="rId83" Type="http://schemas.openxmlformats.org/officeDocument/2006/relationships/hyperlink" Target="https://login.consultant.ru/link/?req=doc&amp;base=LAW&amp;n=464894&amp;dst=29" TargetMode = "External"/>
	<Relationship Id="rId84" Type="http://schemas.openxmlformats.org/officeDocument/2006/relationships/hyperlink" Target="https://login.consultant.ru/link/?req=doc&amp;base=LAW&amp;n=464894&amp;dst=31" TargetMode = "External"/>
	<Relationship Id="rId85" Type="http://schemas.openxmlformats.org/officeDocument/2006/relationships/hyperlink" Target="https://login.consultant.ru/link/?req=doc&amp;base=LAW&amp;n=479355&amp;dst=3080" TargetMode = "External"/>
	<Relationship Id="rId86" Type="http://schemas.openxmlformats.org/officeDocument/2006/relationships/hyperlink" Target="https://login.consultant.ru/link/?req=doc&amp;base=LAW&amp;n=283726&amp;dst=100005" TargetMode = "External"/>
	<Relationship Id="rId87" Type="http://schemas.openxmlformats.org/officeDocument/2006/relationships/hyperlink" Target="https://login.consultant.ru/link/?req=doc&amp;base=LAW&amp;n=464894&amp;dst=28" TargetMode = "External"/>
	<Relationship Id="rId88" Type="http://schemas.openxmlformats.org/officeDocument/2006/relationships/hyperlink" Target="https://login.consultant.ru/link/?req=doc&amp;base=LAW&amp;n=468056&amp;dst=100155" TargetMode = "External"/>
	<Relationship Id="rId89" Type="http://schemas.openxmlformats.org/officeDocument/2006/relationships/hyperlink" Target="https://login.consultant.ru/link/?req=doc&amp;base=LAW&amp;n=468056&amp;dst=100146" TargetMode = "External"/>
	<Relationship Id="rId90" Type="http://schemas.openxmlformats.org/officeDocument/2006/relationships/hyperlink" Target="https://login.consultant.ru/link/?req=doc&amp;base=LAW&amp;n=468056&amp;dst=100157" TargetMode = "External"/>
	<Relationship Id="rId91" Type="http://schemas.openxmlformats.org/officeDocument/2006/relationships/hyperlink" Target="https://login.consultant.ru/link/?req=doc&amp;base=LAW&amp;n=468056&amp;dst=100170" TargetMode = "External"/>
	<Relationship Id="rId92" Type="http://schemas.openxmlformats.org/officeDocument/2006/relationships/hyperlink" Target="https://login.consultant.ru/link/?req=doc&amp;base=LAW&amp;n=468056&amp;dst=100152" TargetMode = "External"/>
	<Relationship Id="rId93" Type="http://schemas.openxmlformats.org/officeDocument/2006/relationships/hyperlink" Target="https://login.consultant.ru/link/?req=doc&amp;base=LAW&amp;n=464894&amp;dst=28" TargetMode = "External"/>
	<Relationship Id="rId94" Type="http://schemas.openxmlformats.org/officeDocument/2006/relationships/hyperlink" Target="https://login.consultant.ru/link/?req=doc&amp;base=LAW&amp;n=468056&amp;dst=100169" TargetMode = "External"/>
	<Relationship Id="rId95" Type="http://schemas.openxmlformats.org/officeDocument/2006/relationships/hyperlink" Target="https://login.consultant.ru/link/?req=doc&amp;base=LAW&amp;n=464894&amp;dst=34" TargetMode = "External"/>
	<Relationship Id="rId96" Type="http://schemas.openxmlformats.org/officeDocument/2006/relationships/hyperlink" Target="https://login.consultant.ru/link/?req=doc&amp;base=LAW&amp;n=464894&amp;dst=28" TargetMode = "External"/>
	<Relationship Id="rId97" Type="http://schemas.openxmlformats.org/officeDocument/2006/relationships/hyperlink" Target="https://login.consultant.ru/link/?req=doc&amp;base=LAW&amp;n=450727&amp;dst=100131" TargetMode = "External"/>
	<Relationship Id="rId98" Type="http://schemas.openxmlformats.org/officeDocument/2006/relationships/hyperlink" Target="https://login.consultant.ru/link/?req=doc&amp;base=LAW&amp;n=450727&amp;dst=100176" TargetMode = "External"/>
	<Relationship Id="rId99" Type="http://schemas.openxmlformats.org/officeDocument/2006/relationships/hyperlink" Target="https://login.consultant.ru/link/?req=doc&amp;base=LAW&amp;n=464894&amp;dst=2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11.05.2017 N 18-4/10/П-2943
&lt;О направлении Методических рекомендаций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организацией&gt;</dc:title>
  <dcterms:created xsi:type="dcterms:W3CDTF">2024-07-30T07:19:18Z</dcterms:created>
</cp:coreProperties>
</file>